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9E" w:rsidRPr="006A4472" w:rsidRDefault="00506201">
      <w:pPr>
        <w:tabs>
          <w:tab w:val="left" w:pos="3120"/>
        </w:tabs>
        <w:spacing w:line="560" w:lineRule="exact"/>
        <w:jc w:val="center"/>
        <w:rPr>
          <w:rFonts w:ascii="黑体" w:eastAsia="黑体" w:hAnsi="黑体"/>
          <w:sz w:val="21"/>
          <w:szCs w:val="21"/>
        </w:rPr>
      </w:pPr>
      <w:r w:rsidRPr="006A4472">
        <w:rPr>
          <w:rFonts w:ascii="黑体" w:eastAsia="黑体" w:hAnsi="黑体" w:hint="eastAsia"/>
          <w:sz w:val="21"/>
          <w:szCs w:val="21"/>
        </w:rPr>
        <w:t>证券代码：002042</w:t>
      </w:r>
      <w:r w:rsidRPr="006A4472">
        <w:rPr>
          <w:rFonts w:ascii="黑体" w:eastAsia="黑体" w:hAnsi="黑体" w:hint="eastAsia"/>
          <w:sz w:val="21"/>
          <w:szCs w:val="21"/>
        </w:rPr>
        <w:tab/>
      </w:r>
      <w:r w:rsidRPr="006A4472">
        <w:rPr>
          <w:rFonts w:ascii="黑体" w:eastAsia="黑体" w:hAnsi="黑体"/>
          <w:sz w:val="21"/>
          <w:szCs w:val="21"/>
        </w:rPr>
        <w:t xml:space="preserve"> </w:t>
      </w:r>
      <w:r w:rsidRPr="006A4472">
        <w:rPr>
          <w:rFonts w:ascii="黑体" w:eastAsia="黑体" w:hAnsi="黑体" w:hint="eastAsia"/>
          <w:sz w:val="21"/>
          <w:szCs w:val="21"/>
        </w:rPr>
        <w:t>证券简称：华孚时尚</w:t>
      </w:r>
      <w:r w:rsidRPr="006A4472">
        <w:rPr>
          <w:rFonts w:ascii="黑体" w:eastAsia="黑体" w:hAnsi="黑体"/>
          <w:sz w:val="21"/>
          <w:szCs w:val="21"/>
        </w:rPr>
        <w:t xml:space="preserve">    </w:t>
      </w:r>
      <w:r w:rsidRPr="006A4472">
        <w:rPr>
          <w:rFonts w:ascii="黑体" w:eastAsia="黑体" w:hAnsi="黑体" w:hint="eastAsia"/>
          <w:sz w:val="21"/>
          <w:szCs w:val="21"/>
        </w:rPr>
        <w:t xml:space="preserve">    </w:t>
      </w:r>
      <w:r w:rsidRPr="006A4472">
        <w:rPr>
          <w:rFonts w:ascii="黑体" w:eastAsia="黑体" w:hAnsi="黑体"/>
          <w:sz w:val="21"/>
          <w:szCs w:val="21"/>
        </w:rPr>
        <w:t xml:space="preserve">    </w:t>
      </w:r>
      <w:r w:rsidRPr="006A4472">
        <w:rPr>
          <w:rFonts w:ascii="黑体" w:eastAsia="黑体" w:hAnsi="黑体" w:hint="eastAsia"/>
          <w:sz w:val="21"/>
          <w:szCs w:val="21"/>
        </w:rPr>
        <w:t>公告编号：2023-35</w:t>
      </w:r>
    </w:p>
    <w:p w:rsidR="006A269E" w:rsidRPr="006A4472" w:rsidRDefault="00506201">
      <w:pPr>
        <w:tabs>
          <w:tab w:val="left" w:pos="3240"/>
        </w:tabs>
        <w:spacing w:beforeLines="100" w:before="326"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A4472">
        <w:rPr>
          <w:rFonts w:asciiTheme="majorEastAsia" w:eastAsiaTheme="majorEastAsia" w:hAnsiTheme="majorEastAsia" w:hint="eastAsia"/>
          <w:b/>
          <w:sz w:val="36"/>
          <w:szCs w:val="36"/>
        </w:rPr>
        <w:t>华孚时尚股份有限公司</w:t>
      </w:r>
    </w:p>
    <w:p w:rsidR="006A269E" w:rsidRPr="006A4472" w:rsidRDefault="00506201">
      <w:pPr>
        <w:tabs>
          <w:tab w:val="left" w:pos="3240"/>
        </w:tabs>
        <w:spacing w:afterLines="100" w:after="326"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A4472">
        <w:rPr>
          <w:rFonts w:asciiTheme="majorEastAsia" w:eastAsiaTheme="majorEastAsia" w:hAnsiTheme="majorEastAsia" w:hint="eastAsia"/>
          <w:b/>
          <w:sz w:val="36"/>
          <w:szCs w:val="36"/>
        </w:rPr>
        <w:t>2023年半</w:t>
      </w:r>
      <w:bookmarkStart w:id="0" w:name="_GoBack"/>
      <w:bookmarkEnd w:id="0"/>
      <w:r w:rsidRPr="006A4472">
        <w:rPr>
          <w:rFonts w:asciiTheme="majorEastAsia" w:eastAsiaTheme="majorEastAsia" w:hAnsiTheme="majorEastAsia" w:hint="eastAsia"/>
          <w:b/>
          <w:sz w:val="36"/>
          <w:szCs w:val="36"/>
        </w:rPr>
        <w:t>年度业绩预告</w:t>
      </w:r>
    </w:p>
    <w:p w:rsidR="006A269E" w:rsidRPr="006A4472" w:rsidRDefault="00506201">
      <w:pPr>
        <w:widowControl/>
        <w:spacing w:beforeLines="50" w:before="163" w:afterLines="100" w:after="326"/>
        <w:ind w:firstLineChars="200" w:firstLine="480"/>
        <w:rPr>
          <w:rFonts w:ascii="楷体" w:eastAsia="楷体" w:hAnsi="楷体" w:cs="宋体"/>
          <w:szCs w:val="20"/>
        </w:rPr>
      </w:pPr>
      <w:r w:rsidRPr="006A4472">
        <w:rPr>
          <w:rFonts w:ascii="楷体" w:eastAsia="楷体" w:hAnsi="楷体" w:cs="宋体" w:hint="eastAsia"/>
          <w:szCs w:val="20"/>
        </w:rPr>
        <w:t>本公司及董事会全体成员保证信息披露的内容真实、准确、完整，没有虚假记载、误导性陈述或重大遗漏。</w:t>
      </w:r>
    </w:p>
    <w:p w:rsidR="006A269E" w:rsidRPr="006A4472" w:rsidRDefault="00506201">
      <w:pPr>
        <w:tabs>
          <w:tab w:val="left" w:pos="3240"/>
        </w:tabs>
        <w:spacing w:line="5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6A4472">
        <w:rPr>
          <w:rFonts w:asciiTheme="minorEastAsia" w:eastAsiaTheme="minorEastAsia" w:hAnsiTheme="minorEastAsia" w:hint="eastAsia"/>
          <w:b/>
        </w:rPr>
        <w:t>一、本期业绩预计情况</w:t>
      </w:r>
    </w:p>
    <w:p w:rsidR="006A269E" w:rsidRPr="006A4472" w:rsidRDefault="00506201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 w:rsidRPr="006A4472">
        <w:rPr>
          <w:rFonts w:asciiTheme="minorEastAsia" w:eastAsiaTheme="minorEastAsia" w:hAnsiTheme="minorEastAsia" w:hint="eastAsia"/>
        </w:rPr>
        <w:t>1、业绩预告期间：2023年1月1日至2023年6月30日</w:t>
      </w:r>
      <w:r w:rsidRPr="006A4472">
        <w:rPr>
          <w:rFonts w:asciiTheme="minorEastAsia" w:eastAsiaTheme="minorEastAsia" w:hAnsiTheme="minorEastAsia"/>
        </w:rPr>
        <w:t xml:space="preserve"> </w:t>
      </w:r>
    </w:p>
    <w:p w:rsidR="006A269E" w:rsidRPr="006A4472" w:rsidRDefault="00506201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 w:rsidRPr="006A4472">
        <w:rPr>
          <w:rFonts w:asciiTheme="minorEastAsia" w:eastAsiaTheme="minorEastAsia" w:hAnsiTheme="minorEastAsia" w:hint="eastAsia"/>
        </w:rPr>
        <w:t>2、业绩预告情况：同向下降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3803"/>
        <w:gridCol w:w="2753"/>
      </w:tblGrid>
      <w:tr w:rsidR="006A269E" w:rsidRPr="006A4472">
        <w:trPr>
          <w:trHeight w:val="55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6A4472">
              <w:rPr>
                <w:rFonts w:asciiTheme="minorEastAsia" w:eastAsiaTheme="minorEastAsia" w:hAnsiTheme="minorEastAsia" w:hint="eastAsia"/>
                <w:b/>
              </w:rPr>
              <w:t>项</w:t>
            </w:r>
            <w:r w:rsidRPr="006A4472">
              <w:rPr>
                <w:rFonts w:asciiTheme="minorEastAsia" w:eastAsiaTheme="minorEastAsia" w:hAnsiTheme="minorEastAsia"/>
                <w:b/>
              </w:rPr>
              <w:t xml:space="preserve">  </w:t>
            </w:r>
            <w:r w:rsidRPr="006A4472">
              <w:rPr>
                <w:rFonts w:asciiTheme="minorEastAsia" w:eastAsiaTheme="minorEastAsia" w:hAnsiTheme="minorEastAsia" w:hint="eastAsia"/>
                <w:b/>
              </w:rPr>
              <w:t>目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6A4472">
              <w:rPr>
                <w:rFonts w:asciiTheme="minorEastAsia" w:eastAsiaTheme="minorEastAsia" w:hAnsiTheme="minorEastAsia" w:hint="eastAsia"/>
                <w:b/>
              </w:rPr>
              <w:t>本报告期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6A4472">
              <w:rPr>
                <w:rFonts w:asciiTheme="minorEastAsia" w:eastAsiaTheme="minorEastAsia" w:hAnsiTheme="minorEastAsia" w:hint="eastAsia"/>
                <w:b/>
              </w:rPr>
              <w:t>上年同期</w:t>
            </w:r>
          </w:p>
        </w:tc>
      </w:tr>
      <w:tr w:rsidR="006A269E" w:rsidRPr="006A4472">
        <w:trPr>
          <w:trHeight w:val="550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  <w:r w:rsidRPr="006A4472">
              <w:rPr>
                <w:rFonts w:asciiTheme="minorEastAsia" w:eastAsiaTheme="minorEastAsia" w:hAnsiTheme="minorEastAsia" w:cs="DejaVu Sans" w:hint="eastAsia"/>
                <w:sz w:val="24"/>
                <w:szCs w:val="24"/>
                <w:lang w:bidi="hi-IN"/>
              </w:rPr>
              <w:t>归属于上市公司股东的净利润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盈利：8,000万元–10,000万元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盈利</w:t>
            </w:r>
            <w:r w:rsidRPr="006A4472">
              <w:rPr>
                <w:rFonts w:asciiTheme="minorEastAsia" w:eastAsiaTheme="minorEastAsia" w:hAnsiTheme="minorEastAsia"/>
              </w:rPr>
              <w:t>：</w:t>
            </w:r>
            <w:r w:rsidRPr="006A4472">
              <w:rPr>
                <w:rFonts w:asciiTheme="minorEastAsia" w:eastAsiaTheme="minorEastAsia" w:hAnsiTheme="minorEastAsia" w:hint="eastAsia"/>
              </w:rPr>
              <w:t>29,249.66万元</w:t>
            </w:r>
          </w:p>
        </w:tc>
      </w:tr>
      <w:tr w:rsidR="006A269E" w:rsidRPr="006A4472">
        <w:trPr>
          <w:trHeight w:val="550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6A269E">
            <w:pPr>
              <w:pStyle w:val="ad"/>
              <w:ind w:firstLine="480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比上年同期下降65.81%-72.65%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6A269E">
            <w:pPr>
              <w:tabs>
                <w:tab w:val="left" w:pos="3240"/>
              </w:tabs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</w:tr>
      <w:tr w:rsidR="006A269E" w:rsidRPr="006A4472">
        <w:trPr>
          <w:trHeight w:val="550"/>
        </w:trPr>
        <w:tc>
          <w:tcPr>
            <w:tcW w:w="11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  <w:r w:rsidRPr="006A4472">
              <w:rPr>
                <w:rFonts w:asciiTheme="minorEastAsia" w:eastAsiaTheme="minorEastAsia" w:hAnsiTheme="minorEastAsia" w:cs="DejaVu Sans" w:hint="eastAsia"/>
                <w:sz w:val="24"/>
                <w:szCs w:val="24"/>
                <w:lang w:bidi="hi-IN"/>
              </w:rPr>
              <w:t>扣除非经常性损益后的净利润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盈利：6,000万元–8,000万元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盈利</w:t>
            </w:r>
            <w:r w:rsidRPr="006A4472">
              <w:rPr>
                <w:rFonts w:asciiTheme="minorEastAsia" w:eastAsiaTheme="minorEastAsia" w:hAnsiTheme="minorEastAsia"/>
              </w:rPr>
              <w:t>：</w:t>
            </w:r>
            <w:r w:rsidRPr="006A4472">
              <w:rPr>
                <w:rFonts w:asciiTheme="minorEastAsia" w:eastAsiaTheme="minorEastAsia" w:hAnsiTheme="minorEastAsia" w:hint="eastAsia"/>
              </w:rPr>
              <w:t>27,670.07万元</w:t>
            </w:r>
          </w:p>
        </w:tc>
      </w:tr>
      <w:tr w:rsidR="006A269E" w:rsidRPr="006A4472">
        <w:trPr>
          <w:trHeight w:val="550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6A269E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比上年同期下降71.09%-78.32%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6A269E">
            <w:pPr>
              <w:tabs>
                <w:tab w:val="left" w:pos="3240"/>
              </w:tabs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</w:tr>
      <w:tr w:rsidR="006A269E" w:rsidRPr="006A4472">
        <w:trPr>
          <w:trHeight w:val="55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  <w:r w:rsidRPr="006A4472">
              <w:rPr>
                <w:rFonts w:asciiTheme="minorEastAsia" w:eastAsiaTheme="minorEastAsia" w:hAnsiTheme="minorEastAsia" w:cs="DejaVu Sans" w:hint="eastAsia"/>
                <w:sz w:val="24"/>
                <w:szCs w:val="24"/>
                <w:lang w:bidi="hi-IN"/>
              </w:rPr>
              <w:t>基本每股收益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盈利：0.05</w:t>
            </w:r>
            <w:r w:rsidRPr="006A4472">
              <w:rPr>
                <w:rFonts w:asciiTheme="minorEastAsia" w:eastAsiaTheme="minorEastAsia" w:hAnsiTheme="minorEastAsia"/>
              </w:rPr>
              <w:t>元/股–</w:t>
            </w:r>
            <w:r w:rsidRPr="006A4472">
              <w:rPr>
                <w:rFonts w:asciiTheme="minorEastAsia" w:eastAsiaTheme="minorEastAsia" w:hAnsiTheme="minorEastAsia" w:hint="eastAsia"/>
              </w:rPr>
              <w:t>0.06</w:t>
            </w:r>
            <w:r w:rsidRPr="006A4472">
              <w:rPr>
                <w:rFonts w:asciiTheme="minorEastAsia" w:eastAsiaTheme="minorEastAsia" w:hAnsiTheme="minorEastAsia"/>
              </w:rPr>
              <w:t>元/股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9E" w:rsidRPr="006A4472" w:rsidRDefault="00506201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6A4472">
              <w:rPr>
                <w:rFonts w:asciiTheme="minorEastAsia" w:eastAsiaTheme="minorEastAsia" w:hAnsiTheme="minorEastAsia" w:hint="eastAsia"/>
              </w:rPr>
              <w:t>盈利</w:t>
            </w:r>
            <w:r w:rsidRPr="006A4472">
              <w:rPr>
                <w:rFonts w:asciiTheme="minorEastAsia" w:eastAsiaTheme="minorEastAsia" w:hAnsiTheme="minorEastAsia"/>
              </w:rPr>
              <w:t>：</w:t>
            </w:r>
            <w:r w:rsidRPr="006A4472">
              <w:rPr>
                <w:rFonts w:asciiTheme="minorEastAsia" w:eastAsiaTheme="minorEastAsia" w:hAnsiTheme="minorEastAsia" w:hint="eastAsia"/>
              </w:rPr>
              <w:t>0.17</w:t>
            </w:r>
            <w:r w:rsidRPr="006A4472">
              <w:rPr>
                <w:rFonts w:asciiTheme="minorEastAsia" w:eastAsiaTheme="minorEastAsia" w:hAnsiTheme="minorEastAsia"/>
              </w:rPr>
              <w:t>元/股</w:t>
            </w:r>
          </w:p>
        </w:tc>
      </w:tr>
    </w:tbl>
    <w:p w:rsidR="006A269E" w:rsidRPr="006A4472" w:rsidRDefault="00506201">
      <w:pPr>
        <w:tabs>
          <w:tab w:val="left" w:pos="3240"/>
        </w:tabs>
        <w:spacing w:line="5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6A4472">
        <w:rPr>
          <w:rFonts w:asciiTheme="minorEastAsia" w:eastAsiaTheme="minorEastAsia" w:hAnsiTheme="minorEastAsia" w:hint="eastAsia"/>
          <w:b/>
        </w:rPr>
        <w:t>二、与会计师事务所沟通情况</w:t>
      </w:r>
    </w:p>
    <w:p w:rsidR="00506201" w:rsidRPr="006A4472" w:rsidRDefault="00506201" w:rsidP="00506201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 w:rsidRPr="006A4472">
        <w:rPr>
          <w:rFonts w:asciiTheme="minorEastAsia" w:eastAsiaTheme="minorEastAsia" w:hAnsiTheme="minorEastAsia" w:hint="eastAsia"/>
        </w:rPr>
        <w:t>本次业绩预告相关数据是公司财务部门初步测算的结果，未经会计师事务所审计。</w:t>
      </w:r>
    </w:p>
    <w:p w:rsidR="006A269E" w:rsidRPr="006A4472" w:rsidRDefault="00506201">
      <w:pPr>
        <w:tabs>
          <w:tab w:val="left" w:pos="3240"/>
        </w:tabs>
        <w:spacing w:line="5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6A4472">
        <w:rPr>
          <w:rFonts w:asciiTheme="minorEastAsia" w:eastAsiaTheme="minorEastAsia" w:hAnsiTheme="minorEastAsia" w:hint="eastAsia"/>
          <w:b/>
        </w:rPr>
        <w:t>三、业绩变动原因说明</w:t>
      </w:r>
    </w:p>
    <w:p w:rsidR="00506201" w:rsidRPr="006A4472" w:rsidRDefault="00506201" w:rsidP="00506201">
      <w:pPr>
        <w:tabs>
          <w:tab w:val="left" w:pos="3240"/>
        </w:tabs>
        <w:spacing w:line="500" w:lineRule="exact"/>
        <w:ind w:firstLineChars="235" w:firstLine="564"/>
        <w:jc w:val="both"/>
        <w:rPr>
          <w:rFonts w:asciiTheme="minorEastAsia" w:eastAsiaTheme="minorEastAsia" w:hAnsiTheme="minorEastAsia"/>
        </w:rPr>
      </w:pPr>
      <w:r w:rsidRPr="006A4472">
        <w:rPr>
          <w:rFonts w:asciiTheme="minorEastAsia" w:eastAsiaTheme="minorEastAsia" w:hAnsiTheme="minorEastAsia" w:hint="eastAsia"/>
        </w:rPr>
        <w:t>2023年上半年，公司</w:t>
      </w:r>
      <w:r w:rsidRPr="006A4472">
        <w:rPr>
          <w:rFonts w:asciiTheme="minorEastAsia" w:eastAsiaTheme="minorEastAsia" w:hAnsiTheme="minorEastAsia"/>
        </w:rPr>
        <w:t>整体生产</w:t>
      </w:r>
      <w:r w:rsidRPr="006A4472">
        <w:rPr>
          <w:rFonts w:asciiTheme="minorEastAsia" w:eastAsiaTheme="minorEastAsia" w:hAnsiTheme="minorEastAsia" w:hint="eastAsia"/>
        </w:rPr>
        <w:t>稳步</w:t>
      </w:r>
      <w:r w:rsidRPr="006A4472">
        <w:rPr>
          <w:rFonts w:asciiTheme="minorEastAsia" w:eastAsiaTheme="minorEastAsia" w:hAnsiTheme="minorEastAsia"/>
        </w:rPr>
        <w:t>回升，二季度以来，行业外贸形势较为严峻，纺织品服装出口额同比增速明显放缓，内需市场需求仍</w:t>
      </w:r>
      <w:r w:rsidRPr="006A4472">
        <w:rPr>
          <w:rFonts w:asciiTheme="minorEastAsia" w:eastAsiaTheme="minorEastAsia" w:hAnsiTheme="minorEastAsia" w:hint="eastAsia"/>
        </w:rPr>
        <w:t>然</w:t>
      </w:r>
      <w:r w:rsidRPr="006A4472">
        <w:rPr>
          <w:rFonts w:asciiTheme="minorEastAsia" w:eastAsiaTheme="minorEastAsia" w:hAnsiTheme="minorEastAsia"/>
        </w:rPr>
        <w:t>偏弱，内生动力有待增强，</w:t>
      </w:r>
      <w:r w:rsidRPr="006A4472">
        <w:rPr>
          <w:rFonts w:asciiTheme="minorEastAsia" w:eastAsiaTheme="minorEastAsia" w:hAnsiTheme="minorEastAsia" w:hint="eastAsia"/>
        </w:rPr>
        <w:t>市场需求恢复不及预期，订单不足，毛利下降，导致公司报告期内归属于母公司股东的净利润下降。后续公司将持续优化经营策略，</w:t>
      </w:r>
      <w:r w:rsidRPr="006A4472">
        <w:rPr>
          <w:rFonts w:asciiTheme="minorEastAsia" w:eastAsiaTheme="minorEastAsia" w:hAnsiTheme="minorEastAsia"/>
        </w:rPr>
        <w:t>把握原料价格趋势，</w:t>
      </w:r>
      <w:r w:rsidRPr="006A4472">
        <w:rPr>
          <w:rFonts w:asciiTheme="minorEastAsia" w:eastAsiaTheme="minorEastAsia" w:hAnsiTheme="minorEastAsia" w:hint="eastAsia"/>
        </w:rPr>
        <w:t>加强成本控制，</w:t>
      </w:r>
      <w:r w:rsidRPr="006A4472">
        <w:rPr>
          <w:rFonts w:asciiTheme="minorEastAsia" w:eastAsiaTheme="minorEastAsia" w:hAnsiTheme="minorEastAsia"/>
        </w:rPr>
        <w:t>做好品类规划，优化产品结构，</w:t>
      </w:r>
      <w:r w:rsidRPr="006A4472">
        <w:rPr>
          <w:rFonts w:asciiTheme="minorEastAsia" w:eastAsiaTheme="minorEastAsia" w:hAnsiTheme="minorEastAsia" w:hint="eastAsia"/>
        </w:rPr>
        <w:t>继续深耕国内市场，积极拓展海外市场，努力降低不利因素对公司生产经营产生的影响。</w:t>
      </w:r>
    </w:p>
    <w:p w:rsidR="006A269E" w:rsidRPr="006A4472" w:rsidRDefault="00506201">
      <w:pPr>
        <w:tabs>
          <w:tab w:val="left" w:pos="3240"/>
        </w:tabs>
        <w:spacing w:line="500" w:lineRule="exact"/>
        <w:ind w:firstLineChars="235" w:firstLine="566"/>
        <w:rPr>
          <w:rFonts w:asciiTheme="minorEastAsia" w:eastAsiaTheme="minorEastAsia" w:hAnsiTheme="minorEastAsia"/>
          <w:b/>
        </w:rPr>
      </w:pPr>
      <w:r w:rsidRPr="006A4472">
        <w:rPr>
          <w:rFonts w:asciiTheme="minorEastAsia" w:eastAsiaTheme="minorEastAsia" w:hAnsiTheme="minorEastAsia" w:hint="eastAsia"/>
          <w:b/>
        </w:rPr>
        <w:t>四、风险提示</w:t>
      </w:r>
    </w:p>
    <w:p w:rsidR="006A269E" w:rsidRPr="006A4472" w:rsidRDefault="00506201">
      <w:pPr>
        <w:snapToGrid w:val="0"/>
        <w:spacing w:line="500" w:lineRule="exact"/>
        <w:ind w:firstLineChars="235" w:firstLine="564"/>
        <w:rPr>
          <w:rFonts w:asciiTheme="minorEastAsia" w:eastAsiaTheme="minorEastAsia" w:hAnsiTheme="minorEastAsia" w:cs="Times New Roman"/>
        </w:rPr>
      </w:pPr>
      <w:r w:rsidRPr="006A4472">
        <w:rPr>
          <w:rFonts w:asciiTheme="minorEastAsia" w:eastAsiaTheme="minorEastAsia" w:hAnsiTheme="minorEastAsia" w:cs="Times New Roman"/>
        </w:rPr>
        <w:lastRenderedPageBreak/>
        <w:t>本次业绩预告数据是公司财务部门初步估算的结果，未经审计机构审计，具体财务数据将在本</w:t>
      </w:r>
      <w:r w:rsidRPr="006A4472">
        <w:rPr>
          <w:rFonts w:asciiTheme="minorEastAsia" w:eastAsiaTheme="minorEastAsia" w:hAnsiTheme="minorEastAsia" w:cs="Times New Roman" w:hint="eastAsia"/>
        </w:rPr>
        <w:t>公司</w:t>
      </w:r>
      <w:r w:rsidRPr="006A4472">
        <w:rPr>
          <w:rFonts w:asciiTheme="minorEastAsia" w:eastAsiaTheme="minorEastAsia" w:hAnsiTheme="minorEastAsia" w:cs="Times New Roman"/>
        </w:rPr>
        <w:t>202</w:t>
      </w:r>
      <w:r w:rsidRPr="006A4472">
        <w:rPr>
          <w:rFonts w:asciiTheme="minorEastAsia" w:eastAsiaTheme="minorEastAsia" w:hAnsiTheme="minorEastAsia" w:cs="Times New Roman" w:hint="eastAsia"/>
        </w:rPr>
        <w:t>3</w:t>
      </w:r>
      <w:r w:rsidRPr="006A4472">
        <w:rPr>
          <w:rFonts w:asciiTheme="minorEastAsia" w:eastAsiaTheme="minorEastAsia" w:hAnsiTheme="minorEastAsia" w:cs="Times New Roman"/>
        </w:rPr>
        <w:t>年</w:t>
      </w:r>
      <w:r w:rsidRPr="006A4472">
        <w:rPr>
          <w:rFonts w:asciiTheme="minorEastAsia" w:eastAsiaTheme="minorEastAsia" w:hAnsiTheme="minorEastAsia" w:cs="Times New Roman" w:hint="eastAsia"/>
        </w:rPr>
        <w:t>半年度</w:t>
      </w:r>
      <w:r w:rsidRPr="006A4472">
        <w:rPr>
          <w:rFonts w:asciiTheme="minorEastAsia" w:eastAsiaTheme="minorEastAsia" w:hAnsiTheme="minorEastAsia" w:cs="Times New Roman"/>
        </w:rPr>
        <w:t>报告中详细披露，敬请广大投资者注意投资风险</w:t>
      </w:r>
      <w:r w:rsidRPr="006A4472">
        <w:rPr>
          <w:rFonts w:asciiTheme="minorEastAsia" w:eastAsiaTheme="minorEastAsia" w:hAnsiTheme="minorEastAsia" w:cs="Times New Roman" w:hint="eastAsia"/>
        </w:rPr>
        <w:t>！</w:t>
      </w:r>
    </w:p>
    <w:p w:rsidR="006A269E" w:rsidRPr="006A4472" w:rsidRDefault="006A269E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</w:p>
    <w:p w:rsidR="006A269E" w:rsidRPr="006A4472" w:rsidRDefault="00506201">
      <w:pPr>
        <w:spacing w:line="500" w:lineRule="exact"/>
        <w:jc w:val="right"/>
        <w:rPr>
          <w:rFonts w:asciiTheme="minorEastAsia" w:eastAsiaTheme="minorEastAsia" w:hAnsiTheme="minorEastAsia" w:cs="Times New Roman"/>
        </w:rPr>
      </w:pPr>
      <w:r w:rsidRPr="006A4472">
        <w:rPr>
          <w:rFonts w:asciiTheme="minorEastAsia" w:eastAsiaTheme="minorEastAsia" w:hAnsiTheme="minorEastAsia" w:cs="Times New Roman" w:hint="eastAsia"/>
        </w:rPr>
        <w:t>华孚时尚股份有限公司董事会</w:t>
      </w:r>
    </w:p>
    <w:p w:rsidR="006A269E" w:rsidRDefault="00506201">
      <w:pPr>
        <w:pStyle w:val="2"/>
        <w:wordWrap w:val="0"/>
        <w:spacing w:after="0" w:line="500" w:lineRule="exact"/>
        <w:ind w:leftChars="0" w:left="0"/>
        <w:jc w:val="right"/>
        <w:rPr>
          <w:rFonts w:asciiTheme="minorEastAsia" w:eastAsiaTheme="minorEastAsia" w:hAnsiTheme="minorEastAsia" w:cs="Times New Roman"/>
          <w:szCs w:val="24"/>
        </w:rPr>
      </w:pPr>
      <w:r w:rsidRPr="006A4472">
        <w:rPr>
          <w:rFonts w:asciiTheme="minorEastAsia" w:eastAsiaTheme="minorEastAsia" w:hAnsiTheme="minorEastAsia" w:cs="Times New Roman" w:hint="eastAsia"/>
          <w:szCs w:val="24"/>
        </w:rPr>
        <w:t>二〇二三年七月十五日</w:t>
      </w:r>
    </w:p>
    <w:p w:rsidR="006A269E" w:rsidRDefault="006A269E">
      <w:pPr>
        <w:pStyle w:val="2"/>
        <w:spacing w:line="560" w:lineRule="exact"/>
        <w:ind w:leftChars="0" w:left="0"/>
        <w:jc w:val="right"/>
        <w:rPr>
          <w:rFonts w:ascii="仿宋" w:eastAsia="仿宋" w:hAnsi="仿宋"/>
          <w:sz w:val="32"/>
          <w:szCs w:val="32"/>
        </w:rPr>
      </w:pPr>
    </w:p>
    <w:sectPr w:rsidR="006A269E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201" w:rsidRDefault="00506201">
      <w:r>
        <w:separator/>
      </w:r>
    </w:p>
  </w:endnote>
  <w:endnote w:type="continuationSeparator" w:id="0">
    <w:p w:rsidR="00506201" w:rsidRDefault="0050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DejaVu Sans">
    <w:altName w:val="Times New Roman"/>
    <w:charset w:val="00"/>
    <w:family w:val="roman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621768"/>
    </w:sdtPr>
    <w:sdtEndPr/>
    <w:sdtContent>
      <w:p w:rsidR="00506201" w:rsidRDefault="005062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472" w:rsidRPr="006A4472">
          <w:rPr>
            <w:noProof/>
            <w:lang w:val="zh-CN"/>
          </w:rPr>
          <w:t>1</w:t>
        </w:r>
        <w:r>
          <w:fldChar w:fldCharType="end"/>
        </w:r>
      </w:p>
    </w:sdtContent>
  </w:sdt>
  <w:p w:rsidR="00506201" w:rsidRDefault="0050620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201" w:rsidRDefault="00506201">
      <w:r>
        <w:separator/>
      </w:r>
    </w:p>
  </w:footnote>
  <w:footnote w:type="continuationSeparator" w:id="0">
    <w:p w:rsidR="00506201" w:rsidRDefault="00506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B537AA"/>
    <w:rsid w:val="00004975"/>
    <w:rsid w:val="00005837"/>
    <w:rsid w:val="000070D2"/>
    <w:rsid w:val="0001608D"/>
    <w:rsid w:val="00026D45"/>
    <w:rsid w:val="000273FA"/>
    <w:rsid w:val="0003057E"/>
    <w:rsid w:val="00036B8D"/>
    <w:rsid w:val="0004268E"/>
    <w:rsid w:val="00050E7C"/>
    <w:rsid w:val="00052598"/>
    <w:rsid w:val="00073B91"/>
    <w:rsid w:val="0007490D"/>
    <w:rsid w:val="00082B2D"/>
    <w:rsid w:val="0008312B"/>
    <w:rsid w:val="00091A78"/>
    <w:rsid w:val="00091C4A"/>
    <w:rsid w:val="00093455"/>
    <w:rsid w:val="00094064"/>
    <w:rsid w:val="000A071E"/>
    <w:rsid w:val="000A5B7C"/>
    <w:rsid w:val="000A666F"/>
    <w:rsid w:val="000B02FA"/>
    <w:rsid w:val="000C11F5"/>
    <w:rsid w:val="000C285B"/>
    <w:rsid w:val="000D591F"/>
    <w:rsid w:val="000E0E45"/>
    <w:rsid w:val="000E2C34"/>
    <w:rsid w:val="000F09BB"/>
    <w:rsid w:val="000F0D93"/>
    <w:rsid w:val="001015D0"/>
    <w:rsid w:val="00102A5A"/>
    <w:rsid w:val="00105276"/>
    <w:rsid w:val="001147E9"/>
    <w:rsid w:val="001221FD"/>
    <w:rsid w:val="00125526"/>
    <w:rsid w:val="001414C1"/>
    <w:rsid w:val="00150818"/>
    <w:rsid w:val="00156FAE"/>
    <w:rsid w:val="00157045"/>
    <w:rsid w:val="001658BC"/>
    <w:rsid w:val="00166F79"/>
    <w:rsid w:val="00171615"/>
    <w:rsid w:val="00174B8F"/>
    <w:rsid w:val="001774F4"/>
    <w:rsid w:val="001A7109"/>
    <w:rsid w:val="001B1F0A"/>
    <w:rsid w:val="001B36C0"/>
    <w:rsid w:val="001C00AE"/>
    <w:rsid w:val="001C4141"/>
    <w:rsid w:val="001C42F4"/>
    <w:rsid w:val="001D69B8"/>
    <w:rsid w:val="001E7790"/>
    <w:rsid w:val="001F4D30"/>
    <w:rsid w:val="001F6741"/>
    <w:rsid w:val="0020102C"/>
    <w:rsid w:val="00202FD7"/>
    <w:rsid w:val="0020392E"/>
    <w:rsid w:val="0020407D"/>
    <w:rsid w:val="0021154B"/>
    <w:rsid w:val="002128A6"/>
    <w:rsid w:val="00214C7E"/>
    <w:rsid w:val="00224152"/>
    <w:rsid w:val="002309F0"/>
    <w:rsid w:val="00234228"/>
    <w:rsid w:val="00236BB8"/>
    <w:rsid w:val="00240F30"/>
    <w:rsid w:val="002534E1"/>
    <w:rsid w:val="00267B31"/>
    <w:rsid w:val="002726AA"/>
    <w:rsid w:val="00274A1E"/>
    <w:rsid w:val="002766A3"/>
    <w:rsid w:val="00281089"/>
    <w:rsid w:val="00282694"/>
    <w:rsid w:val="002879EE"/>
    <w:rsid w:val="0029244F"/>
    <w:rsid w:val="0029307B"/>
    <w:rsid w:val="002A3983"/>
    <w:rsid w:val="002A506F"/>
    <w:rsid w:val="002A62B5"/>
    <w:rsid w:val="002B4AF0"/>
    <w:rsid w:val="002B6B16"/>
    <w:rsid w:val="002B7D38"/>
    <w:rsid w:val="002C507E"/>
    <w:rsid w:val="002D65D5"/>
    <w:rsid w:val="002D71C8"/>
    <w:rsid w:val="002E3FE5"/>
    <w:rsid w:val="002F465A"/>
    <w:rsid w:val="002F4F2C"/>
    <w:rsid w:val="00320B8B"/>
    <w:rsid w:val="003214C7"/>
    <w:rsid w:val="0035460F"/>
    <w:rsid w:val="00360FCC"/>
    <w:rsid w:val="0039061A"/>
    <w:rsid w:val="00394BEC"/>
    <w:rsid w:val="00396647"/>
    <w:rsid w:val="003A15C0"/>
    <w:rsid w:val="003A4ED5"/>
    <w:rsid w:val="003B4994"/>
    <w:rsid w:val="003C4615"/>
    <w:rsid w:val="003C5F43"/>
    <w:rsid w:val="003D2069"/>
    <w:rsid w:val="003E4F83"/>
    <w:rsid w:val="0040051B"/>
    <w:rsid w:val="004251D6"/>
    <w:rsid w:val="0043005F"/>
    <w:rsid w:val="00437474"/>
    <w:rsid w:val="00441F55"/>
    <w:rsid w:val="00443B4B"/>
    <w:rsid w:val="00447F2A"/>
    <w:rsid w:val="00453F2D"/>
    <w:rsid w:val="00455AE8"/>
    <w:rsid w:val="004654CF"/>
    <w:rsid w:val="00473FF0"/>
    <w:rsid w:val="004813E0"/>
    <w:rsid w:val="00484EDD"/>
    <w:rsid w:val="0048678F"/>
    <w:rsid w:val="004919DE"/>
    <w:rsid w:val="004C7758"/>
    <w:rsid w:val="004D0141"/>
    <w:rsid w:val="004D3B39"/>
    <w:rsid w:val="004D6808"/>
    <w:rsid w:val="004E38E9"/>
    <w:rsid w:val="004F073A"/>
    <w:rsid w:val="004F789E"/>
    <w:rsid w:val="00500994"/>
    <w:rsid w:val="00504437"/>
    <w:rsid w:val="00506201"/>
    <w:rsid w:val="005102B2"/>
    <w:rsid w:val="005207B6"/>
    <w:rsid w:val="0054295C"/>
    <w:rsid w:val="00547718"/>
    <w:rsid w:val="005516CC"/>
    <w:rsid w:val="00561984"/>
    <w:rsid w:val="00561D32"/>
    <w:rsid w:val="00566159"/>
    <w:rsid w:val="00567B07"/>
    <w:rsid w:val="00567EE2"/>
    <w:rsid w:val="00580422"/>
    <w:rsid w:val="00585185"/>
    <w:rsid w:val="005909F5"/>
    <w:rsid w:val="00592815"/>
    <w:rsid w:val="00594A56"/>
    <w:rsid w:val="005A142D"/>
    <w:rsid w:val="005A3A0F"/>
    <w:rsid w:val="005A768A"/>
    <w:rsid w:val="005C04F8"/>
    <w:rsid w:val="005D03B0"/>
    <w:rsid w:val="005D4E98"/>
    <w:rsid w:val="005E5533"/>
    <w:rsid w:val="005F477E"/>
    <w:rsid w:val="005F75B7"/>
    <w:rsid w:val="006114AE"/>
    <w:rsid w:val="00611EEE"/>
    <w:rsid w:val="00626983"/>
    <w:rsid w:val="00630BA8"/>
    <w:rsid w:val="00653273"/>
    <w:rsid w:val="00653D56"/>
    <w:rsid w:val="00664DC0"/>
    <w:rsid w:val="0067429C"/>
    <w:rsid w:val="006753C1"/>
    <w:rsid w:val="00684AE1"/>
    <w:rsid w:val="006A269E"/>
    <w:rsid w:val="006A3267"/>
    <w:rsid w:val="006A4472"/>
    <w:rsid w:val="006A5C2C"/>
    <w:rsid w:val="006B0905"/>
    <w:rsid w:val="006B7D59"/>
    <w:rsid w:val="006C1B48"/>
    <w:rsid w:val="006C3F15"/>
    <w:rsid w:val="006D02C0"/>
    <w:rsid w:val="006D14F1"/>
    <w:rsid w:val="006D1F3F"/>
    <w:rsid w:val="006E02D8"/>
    <w:rsid w:val="006F094E"/>
    <w:rsid w:val="006F48B4"/>
    <w:rsid w:val="006F4F65"/>
    <w:rsid w:val="00701C35"/>
    <w:rsid w:val="00707ED0"/>
    <w:rsid w:val="00712C07"/>
    <w:rsid w:val="00715E8F"/>
    <w:rsid w:val="007206FC"/>
    <w:rsid w:val="00721CAD"/>
    <w:rsid w:val="0074091A"/>
    <w:rsid w:val="007453C7"/>
    <w:rsid w:val="0075029B"/>
    <w:rsid w:val="00750FBB"/>
    <w:rsid w:val="00761CC4"/>
    <w:rsid w:val="0078083E"/>
    <w:rsid w:val="0078527A"/>
    <w:rsid w:val="00785AF8"/>
    <w:rsid w:val="0078626F"/>
    <w:rsid w:val="00791AF7"/>
    <w:rsid w:val="0079439F"/>
    <w:rsid w:val="00794C7F"/>
    <w:rsid w:val="007950F5"/>
    <w:rsid w:val="00795FE2"/>
    <w:rsid w:val="007967DB"/>
    <w:rsid w:val="007A235C"/>
    <w:rsid w:val="007A47FB"/>
    <w:rsid w:val="007C5F8C"/>
    <w:rsid w:val="007D2404"/>
    <w:rsid w:val="007D2493"/>
    <w:rsid w:val="007D7346"/>
    <w:rsid w:val="007E4ADB"/>
    <w:rsid w:val="007E6560"/>
    <w:rsid w:val="007F24F2"/>
    <w:rsid w:val="007F2884"/>
    <w:rsid w:val="007F6EE0"/>
    <w:rsid w:val="0080345F"/>
    <w:rsid w:val="00810FD6"/>
    <w:rsid w:val="0081327E"/>
    <w:rsid w:val="00817BBE"/>
    <w:rsid w:val="008223CB"/>
    <w:rsid w:val="0082289E"/>
    <w:rsid w:val="00823620"/>
    <w:rsid w:val="0083368F"/>
    <w:rsid w:val="00840933"/>
    <w:rsid w:val="00841EB7"/>
    <w:rsid w:val="00843DBE"/>
    <w:rsid w:val="00846D9C"/>
    <w:rsid w:val="008552C8"/>
    <w:rsid w:val="00855A2F"/>
    <w:rsid w:val="008604E6"/>
    <w:rsid w:val="00876EC2"/>
    <w:rsid w:val="008771DE"/>
    <w:rsid w:val="00880D1F"/>
    <w:rsid w:val="0088758E"/>
    <w:rsid w:val="0089419D"/>
    <w:rsid w:val="008A4DBB"/>
    <w:rsid w:val="008A5C6B"/>
    <w:rsid w:val="008B02C1"/>
    <w:rsid w:val="008B6DA9"/>
    <w:rsid w:val="008C432F"/>
    <w:rsid w:val="008C604D"/>
    <w:rsid w:val="008E57BA"/>
    <w:rsid w:val="00904C7F"/>
    <w:rsid w:val="009126A2"/>
    <w:rsid w:val="00925463"/>
    <w:rsid w:val="00925EB2"/>
    <w:rsid w:val="009272EF"/>
    <w:rsid w:val="0093628B"/>
    <w:rsid w:val="00943EC0"/>
    <w:rsid w:val="00945A17"/>
    <w:rsid w:val="00947411"/>
    <w:rsid w:val="00955710"/>
    <w:rsid w:val="00957263"/>
    <w:rsid w:val="0097575F"/>
    <w:rsid w:val="00987F3B"/>
    <w:rsid w:val="009A4C41"/>
    <w:rsid w:val="009B0733"/>
    <w:rsid w:val="009B08F7"/>
    <w:rsid w:val="009B15F1"/>
    <w:rsid w:val="009C1C81"/>
    <w:rsid w:val="009F1068"/>
    <w:rsid w:val="009F5981"/>
    <w:rsid w:val="009F79D6"/>
    <w:rsid w:val="00A05F0E"/>
    <w:rsid w:val="00A108F2"/>
    <w:rsid w:val="00A111CF"/>
    <w:rsid w:val="00A13743"/>
    <w:rsid w:val="00A13F00"/>
    <w:rsid w:val="00A21C14"/>
    <w:rsid w:val="00A34169"/>
    <w:rsid w:val="00A35AC8"/>
    <w:rsid w:val="00A36718"/>
    <w:rsid w:val="00A42DE6"/>
    <w:rsid w:val="00A54285"/>
    <w:rsid w:val="00A70350"/>
    <w:rsid w:val="00A71BEB"/>
    <w:rsid w:val="00A73DF9"/>
    <w:rsid w:val="00A74EB3"/>
    <w:rsid w:val="00A819C5"/>
    <w:rsid w:val="00A853F0"/>
    <w:rsid w:val="00A9010C"/>
    <w:rsid w:val="00A9325B"/>
    <w:rsid w:val="00AA0F17"/>
    <w:rsid w:val="00AA1D0B"/>
    <w:rsid w:val="00AA7AE4"/>
    <w:rsid w:val="00AB0AF4"/>
    <w:rsid w:val="00AB11E3"/>
    <w:rsid w:val="00AE0397"/>
    <w:rsid w:val="00AF39F2"/>
    <w:rsid w:val="00AF586A"/>
    <w:rsid w:val="00AF6164"/>
    <w:rsid w:val="00B03EA9"/>
    <w:rsid w:val="00B041A5"/>
    <w:rsid w:val="00B105D3"/>
    <w:rsid w:val="00B16E8D"/>
    <w:rsid w:val="00B24C31"/>
    <w:rsid w:val="00B372F4"/>
    <w:rsid w:val="00B537AA"/>
    <w:rsid w:val="00B53954"/>
    <w:rsid w:val="00B572B6"/>
    <w:rsid w:val="00B60620"/>
    <w:rsid w:val="00B66CB4"/>
    <w:rsid w:val="00B75C2E"/>
    <w:rsid w:val="00B80EDF"/>
    <w:rsid w:val="00B852D2"/>
    <w:rsid w:val="00B85E5E"/>
    <w:rsid w:val="00BA5449"/>
    <w:rsid w:val="00BB065B"/>
    <w:rsid w:val="00BB32D5"/>
    <w:rsid w:val="00BB59BA"/>
    <w:rsid w:val="00BB7040"/>
    <w:rsid w:val="00BB7E1C"/>
    <w:rsid w:val="00BC0A47"/>
    <w:rsid w:val="00BC13C3"/>
    <w:rsid w:val="00BC2310"/>
    <w:rsid w:val="00BC35D0"/>
    <w:rsid w:val="00BC404E"/>
    <w:rsid w:val="00BC55CC"/>
    <w:rsid w:val="00BD09D0"/>
    <w:rsid w:val="00BD1FC1"/>
    <w:rsid w:val="00BD2082"/>
    <w:rsid w:val="00BD2553"/>
    <w:rsid w:val="00BD3346"/>
    <w:rsid w:val="00BE22E4"/>
    <w:rsid w:val="00BE2664"/>
    <w:rsid w:val="00BF101E"/>
    <w:rsid w:val="00BF653A"/>
    <w:rsid w:val="00C01DCF"/>
    <w:rsid w:val="00C0345E"/>
    <w:rsid w:val="00C03F39"/>
    <w:rsid w:val="00C121C5"/>
    <w:rsid w:val="00C16705"/>
    <w:rsid w:val="00C23A11"/>
    <w:rsid w:val="00C24770"/>
    <w:rsid w:val="00C32789"/>
    <w:rsid w:val="00C331A5"/>
    <w:rsid w:val="00C37565"/>
    <w:rsid w:val="00C439B9"/>
    <w:rsid w:val="00C51BB7"/>
    <w:rsid w:val="00C72DED"/>
    <w:rsid w:val="00C82B13"/>
    <w:rsid w:val="00C868F5"/>
    <w:rsid w:val="00C8736C"/>
    <w:rsid w:val="00C93A50"/>
    <w:rsid w:val="00CA0C61"/>
    <w:rsid w:val="00CC5148"/>
    <w:rsid w:val="00CD373E"/>
    <w:rsid w:val="00CD4815"/>
    <w:rsid w:val="00CE2C76"/>
    <w:rsid w:val="00CE579E"/>
    <w:rsid w:val="00CE7C12"/>
    <w:rsid w:val="00CF133C"/>
    <w:rsid w:val="00CF24AA"/>
    <w:rsid w:val="00D12B7F"/>
    <w:rsid w:val="00D16F38"/>
    <w:rsid w:val="00D217DD"/>
    <w:rsid w:val="00D2691A"/>
    <w:rsid w:val="00D30BB3"/>
    <w:rsid w:val="00D332CA"/>
    <w:rsid w:val="00D44C60"/>
    <w:rsid w:val="00D60F9B"/>
    <w:rsid w:val="00D6419B"/>
    <w:rsid w:val="00D650DC"/>
    <w:rsid w:val="00D67334"/>
    <w:rsid w:val="00D82F12"/>
    <w:rsid w:val="00D837E8"/>
    <w:rsid w:val="00D86EE8"/>
    <w:rsid w:val="00D91E75"/>
    <w:rsid w:val="00D92696"/>
    <w:rsid w:val="00DA1069"/>
    <w:rsid w:val="00DA236A"/>
    <w:rsid w:val="00DA4912"/>
    <w:rsid w:val="00DB778C"/>
    <w:rsid w:val="00DC0E12"/>
    <w:rsid w:val="00DC646D"/>
    <w:rsid w:val="00DD0DE3"/>
    <w:rsid w:val="00DF5929"/>
    <w:rsid w:val="00DF6658"/>
    <w:rsid w:val="00E05DBE"/>
    <w:rsid w:val="00E15814"/>
    <w:rsid w:val="00E16262"/>
    <w:rsid w:val="00E22BCE"/>
    <w:rsid w:val="00E30DF0"/>
    <w:rsid w:val="00E33776"/>
    <w:rsid w:val="00E362BF"/>
    <w:rsid w:val="00E4561F"/>
    <w:rsid w:val="00E53CB6"/>
    <w:rsid w:val="00E55CEE"/>
    <w:rsid w:val="00E62009"/>
    <w:rsid w:val="00E85BFC"/>
    <w:rsid w:val="00EA6687"/>
    <w:rsid w:val="00EA7A77"/>
    <w:rsid w:val="00EB5A5F"/>
    <w:rsid w:val="00EB7ED0"/>
    <w:rsid w:val="00EC1056"/>
    <w:rsid w:val="00EC5F29"/>
    <w:rsid w:val="00ED240A"/>
    <w:rsid w:val="00ED3E56"/>
    <w:rsid w:val="00EE347E"/>
    <w:rsid w:val="00EE6D3E"/>
    <w:rsid w:val="00EF1960"/>
    <w:rsid w:val="00EF3044"/>
    <w:rsid w:val="00EF3318"/>
    <w:rsid w:val="00EF758F"/>
    <w:rsid w:val="00F224B1"/>
    <w:rsid w:val="00F25916"/>
    <w:rsid w:val="00F35BC9"/>
    <w:rsid w:val="00F45B09"/>
    <w:rsid w:val="00F45B88"/>
    <w:rsid w:val="00F51C0D"/>
    <w:rsid w:val="00F51FCB"/>
    <w:rsid w:val="00F71BAE"/>
    <w:rsid w:val="00F730E5"/>
    <w:rsid w:val="00F73934"/>
    <w:rsid w:val="00F8225F"/>
    <w:rsid w:val="00F864F5"/>
    <w:rsid w:val="00F90271"/>
    <w:rsid w:val="00F9319D"/>
    <w:rsid w:val="00F9471A"/>
    <w:rsid w:val="00F9722D"/>
    <w:rsid w:val="00FA1559"/>
    <w:rsid w:val="00FA43C9"/>
    <w:rsid w:val="00FA7678"/>
    <w:rsid w:val="00FA7CC9"/>
    <w:rsid w:val="00FE1D7C"/>
    <w:rsid w:val="00FE2DDE"/>
    <w:rsid w:val="00FE57F1"/>
    <w:rsid w:val="00FE6FA6"/>
    <w:rsid w:val="00FF1E75"/>
    <w:rsid w:val="2B62607C"/>
    <w:rsid w:val="4E165D90"/>
    <w:rsid w:val="548F1571"/>
    <w:rsid w:val="59FB4C55"/>
    <w:rsid w:val="7DFB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Liberation Serif" w:eastAsia="DejaVu Sans" w:hAnsi="Liberation Serif" w:cs="DejaVu Sans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Pr>
      <w:rFonts w:cs="Mangal"/>
      <w:szCs w:val="21"/>
    </w:rPr>
  </w:style>
  <w:style w:type="paragraph" w:styleId="a4">
    <w:name w:val="Body Text"/>
    <w:basedOn w:val="a"/>
    <w:link w:val="Char0"/>
    <w:qFormat/>
    <w:pPr>
      <w:spacing w:after="283" w:line="360" w:lineRule="auto"/>
    </w:pPr>
  </w:style>
  <w:style w:type="paragraph" w:styleId="a5">
    <w:name w:val="Date"/>
    <w:basedOn w:val="a"/>
    <w:next w:val="a"/>
    <w:link w:val="Char1"/>
    <w:qFormat/>
    <w:pPr>
      <w:jc w:val="both"/>
    </w:pPr>
    <w:rPr>
      <w:rFonts w:ascii="Times New Roman" w:eastAsia="宋体" w:hAnsi="Times New Roman" w:cs="Times New Roman"/>
      <w:kern w:val="2"/>
      <w:sz w:val="28"/>
      <w:szCs w:val="20"/>
      <w:lang w:bidi="ar-SA"/>
    </w:rPr>
  </w:style>
  <w:style w:type="paragraph" w:styleId="2">
    <w:name w:val="Body Text Indent 2"/>
    <w:basedOn w:val="a"/>
    <w:link w:val="2Char"/>
    <w:uiPriority w:val="99"/>
    <w:unhideWhenUsed/>
    <w:qFormat/>
    <w:pPr>
      <w:spacing w:after="120" w:line="480" w:lineRule="auto"/>
      <w:ind w:leftChars="200" w:left="420"/>
    </w:pPr>
    <w:rPr>
      <w:rFonts w:cs="Mangal"/>
      <w:szCs w:val="21"/>
    </w:rPr>
  </w:style>
  <w:style w:type="paragraph" w:styleId="a6">
    <w:name w:val="Balloon Text"/>
    <w:basedOn w:val="a"/>
    <w:link w:val="Char2"/>
    <w:uiPriority w:val="99"/>
    <w:semiHidden/>
    <w:unhideWhenUsed/>
    <w:qFormat/>
    <w:rPr>
      <w:rFonts w:cs="Mangal"/>
      <w:sz w:val="18"/>
      <w:szCs w:val="16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cs="Mangal"/>
      <w:sz w:val="18"/>
      <w:szCs w:val="16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宋体" w:eastAsia="宋体" w:hAnsi="宋体" w:cs="宋体"/>
      <w:lang w:bidi="ar-SA"/>
    </w:rPr>
  </w:style>
  <w:style w:type="paragraph" w:styleId="aa">
    <w:name w:val="annotation subject"/>
    <w:basedOn w:val="a3"/>
    <w:next w:val="a3"/>
    <w:link w:val="Char5"/>
    <w:uiPriority w:val="99"/>
    <w:semiHidden/>
    <w:unhideWhenUsed/>
    <w:qFormat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正文文本 Char"/>
    <w:basedOn w:val="a0"/>
    <w:link w:val="a4"/>
    <w:qFormat/>
    <w:rPr>
      <w:rFonts w:ascii="Liberation Serif" w:eastAsia="DejaVu Sans" w:hAnsi="Liberation Serif" w:cs="DejaVu Sans"/>
      <w:kern w:val="0"/>
      <w:sz w:val="24"/>
      <w:szCs w:val="24"/>
      <w:lang w:bidi="hi-IN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character" w:customStyle="1" w:styleId="Char5">
    <w:name w:val="批注主题 Char"/>
    <w:basedOn w:val="Char"/>
    <w:link w:val="aa"/>
    <w:uiPriority w:val="99"/>
    <w:semiHidden/>
    <w:qFormat/>
    <w:rPr>
      <w:rFonts w:ascii="Liberation Serif" w:eastAsia="DejaVu Sans" w:hAnsi="Liberation Serif" w:cs="Mangal"/>
      <w:b/>
      <w:bCs/>
      <w:kern w:val="0"/>
      <w:sz w:val="24"/>
      <w:szCs w:val="21"/>
      <w:lang w:bidi="hi-IN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customStyle="1" w:styleId="1">
    <w:name w:val="修订1"/>
    <w:hidden/>
    <w:uiPriority w:val="99"/>
    <w:semiHidden/>
    <w:qFormat/>
    <w:rPr>
      <w:rFonts w:ascii="Liberation Serif" w:eastAsia="DejaVu Sans" w:hAnsi="Liberation Serif" w:cs="Mangal"/>
      <w:sz w:val="24"/>
      <w:szCs w:val="21"/>
      <w:lang w:bidi="hi-IN"/>
    </w:rPr>
  </w:style>
  <w:style w:type="character" w:customStyle="1" w:styleId="2Char">
    <w:name w:val="正文文本缩进 2 Char"/>
    <w:basedOn w:val="a0"/>
    <w:link w:val="2"/>
    <w:uiPriority w:val="99"/>
    <w:qFormat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character" w:customStyle="1" w:styleId="Char1">
    <w:name w:val="日期 Char"/>
    <w:basedOn w:val="a0"/>
    <w:link w:val="a5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Char4">
    <w:name w:val="页眉 Char"/>
    <w:basedOn w:val="a0"/>
    <w:link w:val="a8"/>
    <w:uiPriority w:val="99"/>
    <w:qFormat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character" w:customStyle="1" w:styleId="Char3">
    <w:name w:val="页脚 Char"/>
    <w:basedOn w:val="a0"/>
    <w:link w:val="a7"/>
    <w:uiPriority w:val="99"/>
    <w:qFormat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d">
    <w:name w:val="No Spacing"/>
    <w:link w:val="Char6"/>
    <w:uiPriority w:val="1"/>
    <w:qFormat/>
    <w:rPr>
      <w:rFonts w:ascii="Calibri" w:eastAsia="宋体" w:hAnsi="Calibri" w:cs="Times New Roman"/>
      <w:sz w:val="22"/>
      <w:szCs w:val="22"/>
    </w:rPr>
  </w:style>
  <w:style w:type="character" w:customStyle="1" w:styleId="Char6">
    <w:name w:val="无间隔 Char"/>
    <w:link w:val="ad"/>
    <w:uiPriority w:val="1"/>
    <w:qFormat/>
    <w:rPr>
      <w:rFonts w:ascii="Calibri" w:eastAsia="宋体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Liberation Serif" w:eastAsia="DejaVu Sans" w:hAnsi="Liberation Serif" w:cs="DejaVu Sans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Pr>
      <w:rFonts w:cs="Mangal"/>
      <w:szCs w:val="21"/>
    </w:rPr>
  </w:style>
  <w:style w:type="paragraph" w:styleId="a4">
    <w:name w:val="Body Text"/>
    <w:basedOn w:val="a"/>
    <w:link w:val="Char0"/>
    <w:qFormat/>
    <w:pPr>
      <w:spacing w:after="283" w:line="360" w:lineRule="auto"/>
    </w:pPr>
  </w:style>
  <w:style w:type="paragraph" w:styleId="a5">
    <w:name w:val="Date"/>
    <w:basedOn w:val="a"/>
    <w:next w:val="a"/>
    <w:link w:val="Char1"/>
    <w:qFormat/>
    <w:pPr>
      <w:jc w:val="both"/>
    </w:pPr>
    <w:rPr>
      <w:rFonts w:ascii="Times New Roman" w:eastAsia="宋体" w:hAnsi="Times New Roman" w:cs="Times New Roman"/>
      <w:kern w:val="2"/>
      <w:sz w:val="28"/>
      <w:szCs w:val="20"/>
      <w:lang w:bidi="ar-SA"/>
    </w:rPr>
  </w:style>
  <w:style w:type="paragraph" w:styleId="2">
    <w:name w:val="Body Text Indent 2"/>
    <w:basedOn w:val="a"/>
    <w:link w:val="2Char"/>
    <w:uiPriority w:val="99"/>
    <w:unhideWhenUsed/>
    <w:qFormat/>
    <w:pPr>
      <w:spacing w:after="120" w:line="480" w:lineRule="auto"/>
      <w:ind w:leftChars="200" w:left="420"/>
    </w:pPr>
    <w:rPr>
      <w:rFonts w:cs="Mangal"/>
      <w:szCs w:val="21"/>
    </w:rPr>
  </w:style>
  <w:style w:type="paragraph" w:styleId="a6">
    <w:name w:val="Balloon Text"/>
    <w:basedOn w:val="a"/>
    <w:link w:val="Char2"/>
    <w:uiPriority w:val="99"/>
    <w:semiHidden/>
    <w:unhideWhenUsed/>
    <w:qFormat/>
    <w:rPr>
      <w:rFonts w:cs="Mangal"/>
      <w:sz w:val="18"/>
      <w:szCs w:val="16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cs="Mangal"/>
      <w:sz w:val="18"/>
      <w:szCs w:val="16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宋体" w:eastAsia="宋体" w:hAnsi="宋体" w:cs="宋体"/>
      <w:lang w:bidi="ar-SA"/>
    </w:rPr>
  </w:style>
  <w:style w:type="paragraph" w:styleId="aa">
    <w:name w:val="annotation subject"/>
    <w:basedOn w:val="a3"/>
    <w:next w:val="a3"/>
    <w:link w:val="Char5"/>
    <w:uiPriority w:val="99"/>
    <w:semiHidden/>
    <w:unhideWhenUsed/>
    <w:qFormat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正文文本 Char"/>
    <w:basedOn w:val="a0"/>
    <w:link w:val="a4"/>
    <w:qFormat/>
    <w:rPr>
      <w:rFonts w:ascii="Liberation Serif" w:eastAsia="DejaVu Sans" w:hAnsi="Liberation Serif" w:cs="DejaVu Sans"/>
      <w:kern w:val="0"/>
      <w:sz w:val="24"/>
      <w:szCs w:val="24"/>
      <w:lang w:bidi="hi-IN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character" w:customStyle="1" w:styleId="Char5">
    <w:name w:val="批注主题 Char"/>
    <w:basedOn w:val="Char"/>
    <w:link w:val="aa"/>
    <w:uiPriority w:val="99"/>
    <w:semiHidden/>
    <w:qFormat/>
    <w:rPr>
      <w:rFonts w:ascii="Liberation Serif" w:eastAsia="DejaVu Sans" w:hAnsi="Liberation Serif" w:cs="Mangal"/>
      <w:b/>
      <w:bCs/>
      <w:kern w:val="0"/>
      <w:sz w:val="24"/>
      <w:szCs w:val="21"/>
      <w:lang w:bidi="hi-IN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customStyle="1" w:styleId="1">
    <w:name w:val="修订1"/>
    <w:hidden/>
    <w:uiPriority w:val="99"/>
    <w:semiHidden/>
    <w:qFormat/>
    <w:rPr>
      <w:rFonts w:ascii="Liberation Serif" w:eastAsia="DejaVu Sans" w:hAnsi="Liberation Serif" w:cs="Mangal"/>
      <w:sz w:val="24"/>
      <w:szCs w:val="21"/>
      <w:lang w:bidi="hi-IN"/>
    </w:rPr>
  </w:style>
  <w:style w:type="character" w:customStyle="1" w:styleId="2Char">
    <w:name w:val="正文文本缩进 2 Char"/>
    <w:basedOn w:val="a0"/>
    <w:link w:val="2"/>
    <w:uiPriority w:val="99"/>
    <w:qFormat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character" w:customStyle="1" w:styleId="Char1">
    <w:name w:val="日期 Char"/>
    <w:basedOn w:val="a0"/>
    <w:link w:val="a5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Char4">
    <w:name w:val="页眉 Char"/>
    <w:basedOn w:val="a0"/>
    <w:link w:val="a8"/>
    <w:uiPriority w:val="99"/>
    <w:qFormat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character" w:customStyle="1" w:styleId="Char3">
    <w:name w:val="页脚 Char"/>
    <w:basedOn w:val="a0"/>
    <w:link w:val="a7"/>
    <w:uiPriority w:val="99"/>
    <w:qFormat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d">
    <w:name w:val="No Spacing"/>
    <w:link w:val="Char6"/>
    <w:uiPriority w:val="1"/>
    <w:qFormat/>
    <w:rPr>
      <w:rFonts w:ascii="Calibri" w:eastAsia="宋体" w:hAnsi="Calibri" w:cs="Times New Roman"/>
      <w:sz w:val="22"/>
      <w:szCs w:val="22"/>
    </w:rPr>
  </w:style>
  <w:style w:type="character" w:customStyle="1" w:styleId="Char6">
    <w:name w:val="无间隔 Char"/>
    <w:link w:val="ad"/>
    <w:uiPriority w:val="1"/>
    <w:qFormat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A1CD0ACEFB685468ADC9D3ECFE50AA2" ma:contentTypeVersion="0" ma:contentTypeDescription="新建文档。" ma:contentTypeScope="" ma:versionID="def0500d8bfa075d08ce612c1990ea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dfd09ad98667f9c194c646e97541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888C-5D81-4CA1-98F5-8B2FEF09B465}">
  <ds:schemaRefs/>
</ds:datastoreItem>
</file>

<file path=customXml/itemProps2.xml><?xml version="1.0" encoding="utf-8"?>
<ds:datastoreItem xmlns:ds="http://schemas.openxmlformats.org/officeDocument/2006/customXml" ds:itemID="{C731FF29-FBC1-41F0-9577-521F45D2714D}">
  <ds:schemaRefs/>
</ds:datastoreItem>
</file>

<file path=customXml/itemProps3.xml><?xml version="1.0" encoding="utf-8"?>
<ds:datastoreItem xmlns:ds="http://schemas.openxmlformats.org/officeDocument/2006/customXml" ds:itemID="{D11D488E-F99C-4AAB-ADE8-71C488B59F58}">
  <ds:schemaRefs/>
</ds:datastoreItem>
</file>

<file path=customXml/itemProps4.xml><?xml version="1.0" encoding="utf-8"?>
<ds:datastoreItem xmlns:ds="http://schemas.openxmlformats.org/officeDocument/2006/customXml" ds:itemID="{1BAF407D-C78D-4FE3-8039-53EAA10B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姚效丽[yaoxl]</dc:creator>
  <cp:lastModifiedBy>孙献</cp:lastModifiedBy>
  <cp:revision>9</cp:revision>
  <cp:lastPrinted>2021-01-15T10:15:00Z</cp:lastPrinted>
  <dcterms:created xsi:type="dcterms:W3CDTF">2022-01-25T09:13:00Z</dcterms:created>
  <dcterms:modified xsi:type="dcterms:W3CDTF">2023-07-14T06:20:00Z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0x0101008A1CD0ACEFB685468ADC9D3ECFE50AA2</vt:lpwstr>
  </property>
  <property fmtid="{D5CDD505-2E9C-101B-9397-08002B2CF9AE}" pid="3" name="KSOProductBuildVer">
    <vt:lpwstr>2052-11.1.0.14309</vt:lpwstr>
  </property>
  <property fmtid="{D5CDD505-2E9C-101B-9397-08002B2CF9AE}" pid="4" name="ICV">
    <vt:lpwstr>5628E2022B4041A9916ED0598BC1EADD_12</vt:lpwstr>
  </property>
</Properties>
</file>