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96" w:rsidRPr="00987D68" w:rsidRDefault="00A52696" w:rsidP="00A52696">
      <w:pPr>
        <w:spacing w:line="360" w:lineRule="auto"/>
        <w:jc w:val="center"/>
        <w:rPr>
          <w:rFonts w:asciiTheme="minorEastAsia" w:eastAsiaTheme="minorEastAsia" w:hAnsiTheme="minorEastAsia"/>
          <w:b/>
          <w:sz w:val="22"/>
          <w:szCs w:val="24"/>
        </w:rPr>
      </w:pPr>
      <w:r w:rsidRPr="00987D68">
        <w:rPr>
          <w:rFonts w:asciiTheme="minorEastAsia" w:eastAsiaTheme="minorEastAsia" w:hAnsiTheme="minorEastAsia"/>
          <w:b/>
          <w:sz w:val="22"/>
          <w:szCs w:val="24"/>
        </w:rPr>
        <w:t xml:space="preserve">证券代码：002042    </w:t>
      </w:r>
      <w:r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 xml:space="preserve"> </w:t>
      </w:r>
      <w:r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 </w:t>
      </w:r>
      <w:r w:rsidR="00866585"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   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>证券简称：华孚</w:t>
      </w:r>
      <w:r w:rsidR="00866585" w:rsidRPr="00987D68">
        <w:rPr>
          <w:rFonts w:asciiTheme="minorEastAsia" w:eastAsiaTheme="minorEastAsia" w:hAnsiTheme="minorEastAsia"/>
          <w:b/>
          <w:sz w:val="22"/>
          <w:szCs w:val="24"/>
        </w:rPr>
        <w:t>时尚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 xml:space="preserve">  </w:t>
      </w:r>
      <w:r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 xml:space="preserve"> </w:t>
      </w:r>
      <w:r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 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 xml:space="preserve">  </w:t>
      </w:r>
      <w:r w:rsidR="00866585" w:rsidRPr="00987D68">
        <w:rPr>
          <w:rFonts w:asciiTheme="minorEastAsia" w:eastAsiaTheme="minorEastAsia" w:hAnsiTheme="minorEastAsia" w:hint="eastAsia"/>
          <w:b/>
          <w:sz w:val="22"/>
          <w:szCs w:val="24"/>
        </w:rPr>
        <w:t xml:space="preserve"> </w:t>
      </w:r>
      <w:r w:rsidRPr="00987D68">
        <w:rPr>
          <w:rFonts w:asciiTheme="minorEastAsia" w:eastAsiaTheme="minorEastAsia" w:hAnsiTheme="minorEastAsia"/>
          <w:b/>
          <w:sz w:val="22"/>
          <w:szCs w:val="24"/>
        </w:rPr>
        <w:t>公告编号：201</w:t>
      </w:r>
      <w:r w:rsidR="00362B17">
        <w:rPr>
          <w:rFonts w:asciiTheme="minorEastAsia" w:eastAsiaTheme="minorEastAsia" w:hAnsiTheme="minorEastAsia" w:hint="eastAsia"/>
          <w:b/>
          <w:sz w:val="22"/>
          <w:szCs w:val="24"/>
        </w:rPr>
        <w:t>9-11</w:t>
      </w:r>
    </w:p>
    <w:p w:rsidR="00A52696" w:rsidRPr="009B06B2" w:rsidRDefault="00A52696" w:rsidP="00E12B31">
      <w:pPr>
        <w:spacing w:beforeLines="50" w:before="156" w:afterLines="50" w:after="156" w:line="500" w:lineRule="exact"/>
        <w:jc w:val="center"/>
        <w:rPr>
          <w:rFonts w:ascii="宋体" w:hAnsi="宋体"/>
          <w:b/>
          <w:bCs/>
          <w:sz w:val="36"/>
          <w:szCs w:val="36"/>
        </w:rPr>
      </w:pPr>
      <w:r w:rsidRPr="009B06B2">
        <w:rPr>
          <w:rFonts w:ascii="宋体" w:hAnsi="宋体" w:hint="eastAsia"/>
          <w:b/>
          <w:bCs/>
          <w:sz w:val="36"/>
          <w:szCs w:val="36"/>
        </w:rPr>
        <w:t>华孚</w:t>
      </w:r>
      <w:r w:rsidR="00866585">
        <w:rPr>
          <w:rFonts w:ascii="宋体" w:hAnsi="宋体" w:hint="eastAsia"/>
          <w:b/>
          <w:bCs/>
          <w:sz w:val="36"/>
          <w:szCs w:val="36"/>
        </w:rPr>
        <w:t>时尚</w:t>
      </w:r>
      <w:r w:rsidRPr="009B06B2">
        <w:rPr>
          <w:rFonts w:ascii="宋体" w:hAnsi="宋体" w:hint="eastAsia"/>
          <w:b/>
          <w:bCs/>
          <w:sz w:val="36"/>
          <w:szCs w:val="36"/>
        </w:rPr>
        <w:t>股份有限公司</w:t>
      </w:r>
    </w:p>
    <w:p w:rsidR="00A52696" w:rsidRPr="009B06B2" w:rsidRDefault="00362B17" w:rsidP="00E12B31">
      <w:pPr>
        <w:spacing w:beforeLines="50" w:before="156" w:afterLines="50" w:after="156" w:line="5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2018</w:t>
      </w:r>
      <w:r w:rsidR="00A52696" w:rsidRPr="009B06B2">
        <w:rPr>
          <w:rFonts w:ascii="宋体" w:hAnsi="宋体" w:hint="eastAsia"/>
          <w:b/>
          <w:bCs/>
          <w:sz w:val="36"/>
          <w:szCs w:val="36"/>
        </w:rPr>
        <w:t>年度业绩快报</w:t>
      </w:r>
    </w:p>
    <w:p w:rsidR="00A52696" w:rsidRPr="00D26DE7" w:rsidRDefault="00A52696" w:rsidP="00D26DE7">
      <w:pPr>
        <w:autoSpaceDE w:val="0"/>
        <w:autoSpaceDN w:val="0"/>
        <w:spacing w:line="400" w:lineRule="exact"/>
        <w:ind w:firstLineChars="200" w:firstLine="480"/>
        <w:mirrorIndents/>
        <w:rPr>
          <w:rFonts w:ascii="华文楷体" w:eastAsia="华文楷体" w:hAnsi="华文楷体"/>
          <w:sz w:val="24"/>
          <w:szCs w:val="24"/>
        </w:rPr>
      </w:pPr>
      <w:r w:rsidRPr="00D26DE7">
        <w:rPr>
          <w:rFonts w:ascii="华文楷体" w:eastAsia="华文楷体" w:hAnsi="华文楷体"/>
          <w:sz w:val="24"/>
          <w:szCs w:val="24"/>
        </w:rPr>
        <w:t>本公司及董事会全体成员保证信息披露内容</w:t>
      </w:r>
      <w:r w:rsidRPr="00D26DE7">
        <w:rPr>
          <w:rFonts w:ascii="华文楷体" w:eastAsia="华文楷体" w:hAnsi="华文楷体" w:hint="eastAsia"/>
          <w:sz w:val="24"/>
          <w:szCs w:val="24"/>
        </w:rPr>
        <w:t>的</w:t>
      </w:r>
      <w:r w:rsidRPr="00D26DE7">
        <w:rPr>
          <w:rFonts w:ascii="华文楷体" w:eastAsia="华文楷体" w:hAnsi="华文楷体"/>
          <w:sz w:val="24"/>
          <w:szCs w:val="24"/>
        </w:rPr>
        <w:t>真实、准确</w:t>
      </w:r>
      <w:r w:rsidRPr="00D26DE7">
        <w:rPr>
          <w:rFonts w:ascii="华文楷体" w:eastAsia="华文楷体" w:hAnsi="华文楷体" w:hint="eastAsia"/>
          <w:sz w:val="24"/>
          <w:szCs w:val="24"/>
        </w:rPr>
        <w:t>和</w:t>
      </w:r>
      <w:r w:rsidRPr="00D26DE7">
        <w:rPr>
          <w:rFonts w:ascii="华文楷体" w:eastAsia="华文楷体" w:hAnsi="华文楷体"/>
          <w:sz w:val="24"/>
          <w:szCs w:val="24"/>
        </w:rPr>
        <w:t>完整，没有虚假记载、误导性陈述或重大遗漏。</w:t>
      </w:r>
    </w:p>
    <w:p w:rsidR="00D26DE7" w:rsidRDefault="00D26DE7" w:rsidP="00D26DE7">
      <w:pPr>
        <w:autoSpaceDE w:val="0"/>
        <w:autoSpaceDN w:val="0"/>
        <w:spacing w:line="360" w:lineRule="auto"/>
        <w:ind w:firstLineChars="200" w:firstLine="480"/>
        <w:mirrorIndents/>
        <w:rPr>
          <w:rFonts w:asciiTheme="minorEastAsia" w:eastAsiaTheme="minorEastAsia" w:hAnsiTheme="minorEastAsia"/>
          <w:sz w:val="24"/>
          <w:szCs w:val="24"/>
        </w:rPr>
      </w:pPr>
    </w:p>
    <w:p w:rsidR="00A52696" w:rsidRPr="00D26DE7" w:rsidRDefault="00A52696" w:rsidP="00D26DE7">
      <w:pPr>
        <w:autoSpaceDE w:val="0"/>
        <w:autoSpaceDN w:val="0"/>
        <w:spacing w:line="360" w:lineRule="auto"/>
        <w:ind w:firstLineChars="200" w:firstLine="480"/>
        <w:mirrorIndents/>
        <w:rPr>
          <w:rFonts w:asciiTheme="minorEastAsia" w:eastAsiaTheme="minorEastAsia" w:hAnsiTheme="minorEastAsia"/>
          <w:sz w:val="24"/>
          <w:szCs w:val="24"/>
        </w:rPr>
      </w:pPr>
      <w:r w:rsidRPr="00D26DE7">
        <w:rPr>
          <w:rFonts w:asciiTheme="minorEastAsia" w:eastAsiaTheme="minorEastAsia" w:hAnsiTheme="minorEastAsia" w:hint="eastAsia"/>
          <w:sz w:val="24"/>
          <w:szCs w:val="24"/>
        </w:rPr>
        <w:t>特别提示：本公告所载</w:t>
      </w:r>
      <w:r w:rsidR="00987D68">
        <w:rPr>
          <w:rFonts w:asciiTheme="minorEastAsia" w:eastAsiaTheme="minorEastAsia" w:hAnsiTheme="minorEastAsia" w:hint="eastAsia"/>
          <w:sz w:val="24"/>
          <w:szCs w:val="24"/>
        </w:rPr>
        <w:t>2018</w:t>
      </w:r>
      <w:r w:rsidRPr="00D26DE7">
        <w:rPr>
          <w:rFonts w:asciiTheme="minorEastAsia" w:eastAsiaTheme="minorEastAsia" w:hAnsiTheme="minorEastAsia" w:hint="eastAsia"/>
          <w:sz w:val="24"/>
          <w:szCs w:val="24"/>
        </w:rPr>
        <w:t>年度的财务数据仅为初步核算数据，已经公司内部审计部门审计，未经会计师事务所审计，与年度报告中披露的最终数据可能存在差异，请投资者注意投资风险。</w:t>
      </w:r>
    </w:p>
    <w:p w:rsidR="00A52696" w:rsidRPr="009B06B2" w:rsidRDefault="00A52696" w:rsidP="00A52696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9B06B2">
        <w:rPr>
          <w:rFonts w:ascii="宋体" w:hAnsi="宋体"/>
          <w:b/>
          <w:kern w:val="0"/>
          <w:sz w:val="24"/>
          <w:szCs w:val="24"/>
        </w:rPr>
        <w:t>一、201</w:t>
      </w:r>
      <w:r w:rsidR="00987D68">
        <w:rPr>
          <w:rFonts w:ascii="宋体" w:hAnsi="宋体" w:hint="eastAsia"/>
          <w:b/>
          <w:kern w:val="0"/>
          <w:sz w:val="24"/>
          <w:szCs w:val="24"/>
        </w:rPr>
        <w:t>8</w:t>
      </w:r>
      <w:r w:rsidRPr="009B06B2">
        <w:rPr>
          <w:rFonts w:ascii="宋体" w:hAnsi="宋体"/>
          <w:b/>
          <w:kern w:val="0"/>
          <w:sz w:val="24"/>
          <w:szCs w:val="24"/>
        </w:rPr>
        <w:t>年度主要财务数据和指标</w:t>
      </w:r>
    </w:p>
    <w:p w:rsidR="00A52696" w:rsidRPr="009B06B2" w:rsidRDefault="00A52696" w:rsidP="00A52696">
      <w:pPr>
        <w:wordWrap w:val="0"/>
        <w:snapToGrid w:val="0"/>
        <w:spacing w:line="360" w:lineRule="auto"/>
        <w:ind w:firstLineChars="192" w:firstLine="461"/>
        <w:jc w:val="right"/>
        <w:rPr>
          <w:rFonts w:ascii="宋体" w:hAnsi="宋体"/>
          <w:kern w:val="0"/>
          <w:szCs w:val="21"/>
        </w:rPr>
      </w:pPr>
      <w:r w:rsidRPr="009B06B2">
        <w:rPr>
          <w:rFonts w:eastAsia="华文仿宋"/>
          <w:b/>
          <w:sz w:val="24"/>
          <w:szCs w:val="24"/>
        </w:rPr>
        <w:t xml:space="preserve">                                      </w:t>
      </w:r>
      <w:r w:rsidRPr="009B06B2">
        <w:rPr>
          <w:rFonts w:eastAsia="华文仿宋" w:hint="eastAsia"/>
          <w:b/>
          <w:sz w:val="24"/>
          <w:szCs w:val="24"/>
        </w:rPr>
        <w:t xml:space="preserve">  </w:t>
      </w:r>
      <w:r w:rsidRPr="009B06B2">
        <w:rPr>
          <w:rFonts w:eastAsia="华文仿宋"/>
          <w:b/>
          <w:sz w:val="24"/>
          <w:szCs w:val="24"/>
        </w:rPr>
        <w:t xml:space="preserve">  </w:t>
      </w:r>
      <w:r w:rsidRPr="009B06B2">
        <w:rPr>
          <w:rFonts w:eastAsia="华文仿宋" w:hint="eastAsia"/>
          <w:b/>
          <w:sz w:val="24"/>
          <w:szCs w:val="24"/>
        </w:rPr>
        <w:t xml:space="preserve">    </w:t>
      </w:r>
      <w:r w:rsidRPr="009B06B2">
        <w:rPr>
          <w:rFonts w:eastAsia="华文仿宋"/>
          <w:b/>
          <w:sz w:val="24"/>
          <w:szCs w:val="24"/>
        </w:rPr>
        <w:t xml:space="preserve"> </w:t>
      </w:r>
      <w:r w:rsidRPr="009B06B2">
        <w:rPr>
          <w:rFonts w:ascii="宋体" w:hAnsi="宋体"/>
          <w:kern w:val="0"/>
          <w:szCs w:val="21"/>
        </w:rPr>
        <w:t>单位：人民币元</w:t>
      </w:r>
    </w:p>
    <w:tbl>
      <w:tblPr>
        <w:tblW w:w="9208" w:type="dxa"/>
        <w:jc w:val="center"/>
        <w:tblInd w:w="-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2001"/>
        <w:gridCol w:w="2001"/>
        <w:gridCol w:w="1658"/>
      </w:tblGrid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项目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本报告期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上年同期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696" w:rsidRPr="006B3EE0" w:rsidRDefault="00E12B31" w:rsidP="00362B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增减变动幅度</w:t>
            </w:r>
          </w:p>
        </w:tc>
      </w:tr>
      <w:tr w:rsidR="00E12B31" w:rsidRPr="00362B17" w:rsidTr="00E12B31">
        <w:trPr>
          <w:trHeight w:val="269"/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营业总收入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14,306,058,436.24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12,596,539,031.75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13.57%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营业利润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916,372,940.13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786,484,848.45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16.52%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利润总额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929,135,173.20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785,748,298.64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18.25%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归属于上市公司股东的净利润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779,935,316.39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677,376,240.73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15.14%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362B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基本每股收益（元）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0.51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0.45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13.33%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加权平均净资产收益率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11.09%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11.05%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0.04%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362B17" w:rsidRDefault="00A52696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362B17" w:rsidRDefault="00A52696" w:rsidP="00362B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本报告期末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362B17" w:rsidRDefault="00A52696" w:rsidP="00362B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本报告期初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362B17" w:rsidRDefault="00E12B31" w:rsidP="00362B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增减变动幅度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总</w:t>
            </w:r>
            <w:r w:rsidRPr="00362B17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62B17">
              <w:rPr>
                <w:rFonts w:asciiTheme="minorEastAsia" w:eastAsiaTheme="minorEastAsia" w:hAnsiTheme="minorEastAsia" w:hint="eastAsia"/>
                <w:szCs w:val="21"/>
              </w:rPr>
              <w:t>资</w:t>
            </w:r>
            <w:r w:rsidRPr="00362B17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62B17">
              <w:rPr>
                <w:rFonts w:asciiTheme="minorEastAsia" w:eastAsiaTheme="minorEastAsia" w:hAnsiTheme="minorEastAsia" w:hint="eastAsia"/>
                <w:szCs w:val="21"/>
              </w:rPr>
              <w:t>产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18,125,776,424.54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16,031,151,627.41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13.07%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归属于上市公司股东的所有者权益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6,946,102,360.52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6,883,084,099.06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0.92%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股</w:t>
            </w:r>
            <w:r w:rsidRPr="00362B17"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 w:rsidRPr="00362B17">
              <w:rPr>
                <w:rFonts w:asciiTheme="minorEastAsia" w:eastAsiaTheme="minorEastAsia" w:hAnsiTheme="minorEastAsia" w:hint="eastAsia"/>
                <w:szCs w:val="21"/>
              </w:rPr>
              <w:t>本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1,519,375,555.00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1,012,917,037.00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50.00%</w:t>
            </w:r>
          </w:p>
        </w:tc>
      </w:tr>
      <w:tr w:rsidR="00E12B31" w:rsidRPr="00362B17" w:rsidTr="00E12B31">
        <w:trPr>
          <w:jc w:val="center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62B17" w:rsidRPr="00362B17" w:rsidRDefault="00362B17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 w:hint="eastAsia"/>
                <w:szCs w:val="21"/>
              </w:rPr>
              <w:t>归属于上市公司股东的每股净资产（元）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4.57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4.53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17" w:rsidRPr="00362B17" w:rsidRDefault="00362B17" w:rsidP="00362B17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362B17">
              <w:rPr>
                <w:rFonts w:asciiTheme="minorEastAsia" w:eastAsiaTheme="minorEastAsia" w:hAnsiTheme="minorEastAsia"/>
                <w:szCs w:val="21"/>
              </w:rPr>
              <w:t>0.88%</w:t>
            </w:r>
          </w:p>
        </w:tc>
      </w:tr>
    </w:tbl>
    <w:p w:rsidR="00A52696" w:rsidRPr="009B06B2" w:rsidRDefault="00A52696" w:rsidP="00A52696">
      <w:pPr>
        <w:spacing w:line="360" w:lineRule="auto"/>
        <w:rPr>
          <w:rFonts w:ascii="仿宋" w:eastAsia="仿宋" w:hAnsi="仿宋"/>
          <w:sz w:val="24"/>
          <w:szCs w:val="24"/>
        </w:rPr>
      </w:pPr>
      <w:r w:rsidRPr="009B06B2">
        <w:rPr>
          <w:rFonts w:ascii="仿宋" w:eastAsia="仿宋" w:hAnsi="仿宋"/>
          <w:sz w:val="24"/>
          <w:szCs w:val="24"/>
        </w:rPr>
        <w:t>注</w:t>
      </w:r>
      <w:r w:rsidRPr="009B06B2">
        <w:rPr>
          <w:rFonts w:ascii="仿宋" w:eastAsia="仿宋" w:hAnsi="仿宋" w:hint="eastAsia"/>
          <w:sz w:val="24"/>
          <w:szCs w:val="24"/>
        </w:rPr>
        <w:t>：上述数据以合并报表数据填列。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二、经营业绩和财务状况情况说明</w:t>
      </w:r>
    </w:p>
    <w:p w:rsidR="00A52696" w:rsidRPr="00180FE9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0FE9">
        <w:rPr>
          <w:rFonts w:asciiTheme="minorEastAsia" w:eastAsiaTheme="minorEastAsia" w:hAnsiTheme="minorEastAsia"/>
          <w:sz w:val="24"/>
          <w:szCs w:val="24"/>
        </w:rPr>
        <w:t>（一）</w:t>
      </w:r>
      <w:r w:rsidR="007B3ABB">
        <w:rPr>
          <w:rFonts w:asciiTheme="minorEastAsia" w:eastAsiaTheme="minorEastAsia" w:hAnsiTheme="minorEastAsia" w:hint="eastAsia"/>
          <w:sz w:val="24"/>
          <w:szCs w:val="24"/>
        </w:rPr>
        <w:t>股本变动说明</w:t>
      </w:r>
    </w:p>
    <w:p w:rsidR="006026A2" w:rsidRPr="004B05E4" w:rsidRDefault="00A52696" w:rsidP="007B3AB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0FE9">
        <w:rPr>
          <w:rFonts w:asciiTheme="minorEastAsia" w:eastAsiaTheme="minorEastAsia" w:hAnsiTheme="minorEastAsia" w:hint="eastAsia"/>
          <w:sz w:val="24"/>
          <w:szCs w:val="24"/>
        </w:rPr>
        <w:t>报告期内，</w:t>
      </w:r>
      <w:r w:rsidR="007B3ABB">
        <w:rPr>
          <w:rFonts w:asciiTheme="minorEastAsia" w:eastAsiaTheme="minorEastAsia" w:hAnsiTheme="minorEastAsia" w:hint="eastAsia"/>
          <w:sz w:val="24"/>
          <w:szCs w:val="24"/>
        </w:rPr>
        <w:t>公司总股本</w:t>
      </w:r>
      <w:proofErr w:type="gramStart"/>
      <w:r w:rsidR="007B3ABB">
        <w:rPr>
          <w:rFonts w:asciiTheme="minorEastAsia" w:eastAsiaTheme="minorEastAsia" w:hAnsiTheme="minorEastAsia" w:hint="eastAsia"/>
          <w:sz w:val="24"/>
          <w:szCs w:val="24"/>
        </w:rPr>
        <w:t>较报告</w:t>
      </w:r>
      <w:proofErr w:type="gramEnd"/>
      <w:r w:rsidR="007B3ABB">
        <w:rPr>
          <w:rFonts w:asciiTheme="minorEastAsia" w:eastAsiaTheme="minorEastAsia" w:hAnsiTheme="minorEastAsia" w:hint="eastAsia"/>
          <w:sz w:val="24"/>
          <w:szCs w:val="24"/>
        </w:rPr>
        <w:t>期初增幅50%，主要是实施2017年度利润分配方案所致。公司2017年度利润分配方案为：以总股本1,012,917,037股为基数，向全体股东每10股派发现金红利5.00元（含税），另以资本公积转增股本，每10股转增5股。上述利润分配方案于2018年6月6日实施完毕。</w:t>
      </w:r>
      <w:r w:rsidR="007B3ABB" w:rsidRPr="004B05E4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A52696" w:rsidRPr="004B05E4" w:rsidRDefault="00A52696" w:rsidP="006026A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/>
          <w:sz w:val="24"/>
          <w:szCs w:val="24"/>
        </w:rPr>
        <w:t>（二）财务状况说明</w:t>
      </w:r>
    </w:p>
    <w:p w:rsidR="00A52696" w:rsidRPr="004B05E4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t>截至201</w:t>
      </w:r>
      <w:r w:rsidR="00362B17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年12月31日，公司总资产同比增长</w:t>
      </w:r>
      <w:r w:rsidR="00362B17" w:rsidRPr="00362B17">
        <w:rPr>
          <w:rFonts w:asciiTheme="minorEastAsia" w:eastAsiaTheme="minorEastAsia" w:hAnsiTheme="minorEastAsia"/>
          <w:sz w:val="24"/>
          <w:szCs w:val="24"/>
        </w:rPr>
        <w:t>13.07%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，归属于上市公司股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lastRenderedPageBreak/>
        <w:t>东的所有者权益同比增长</w:t>
      </w:r>
      <w:r w:rsidR="00362B17" w:rsidRPr="00362B17">
        <w:rPr>
          <w:rFonts w:asciiTheme="minorEastAsia" w:eastAsiaTheme="minorEastAsia" w:hAnsiTheme="minorEastAsia"/>
          <w:sz w:val="24"/>
          <w:szCs w:val="24"/>
        </w:rPr>
        <w:t>0.92%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，归属于上市公司股东的每股净资产增加</w:t>
      </w:r>
      <w:r w:rsidR="00362B17" w:rsidRPr="00362B17">
        <w:rPr>
          <w:rFonts w:asciiTheme="minorEastAsia" w:eastAsiaTheme="minorEastAsia" w:hAnsiTheme="minorEastAsia"/>
          <w:sz w:val="24"/>
          <w:szCs w:val="24"/>
        </w:rPr>
        <w:t>0.88%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，财务状况良好。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三、与</w:t>
      </w:r>
      <w:proofErr w:type="gramStart"/>
      <w:r w:rsidRPr="009B06B2">
        <w:rPr>
          <w:rFonts w:ascii="宋体" w:hAnsi="宋体"/>
          <w:b/>
          <w:sz w:val="24"/>
          <w:szCs w:val="24"/>
        </w:rPr>
        <w:t>前次业绩</w:t>
      </w:r>
      <w:proofErr w:type="gramEnd"/>
      <w:r w:rsidRPr="009B06B2">
        <w:rPr>
          <w:rFonts w:ascii="宋体" w:hAnsi="宋体"/>
          <w:b/>
          <w:sz w:val="24"/>
          <w:szCs w:val="24"/>
        </w:rPr>
        <w:t>预计的差异说明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本公司</w:t>
      </w:r>
      <w:r w:rsidR="00986F06">
        <w:rPr>
          <w:rFonts w:ascii="宋体" w:hAnsi="宋体" w:hint="eastAsia"/>
          <w:sz w:val="24"/>
          <w:szCs w:val="24"/>
        </w:rPr>
        <w:t>在</w:t>
      </w:r>
      <w:r w:rsidR="00987D68">
        <w:rPr>
          <w:rFonts w:ascii="宋体" w:hAnsi="宋体" w:hint="eastAsia"/>
          <w:sz w:val="24"/>
          <w:szCs w:val="24"/>
        </w:rPr>
        <w:t>2018</w:t>
      </w:r>
      <w:r w:rsidR="00986F06">
        <w:rPr>
          <w:rFonts w:ascii="宋体" w:hAnsi="宋体" w:hint="eastAsia"/>
          <w:sz w:val="24"/>
          <w:szCs w:val="24"/>
        </w:rPr>
        <w:t>年10月</w:t>
      </w:r>
      <w:r w:rsidR="00987D68">
        <w:rPr>
          <w:rFonts w:ascii="宋体" w:hAnsi="宋体" w:hint="eastAsia"/>
          <w:sz w:val="24"/>
          <w:szCs w:val="24"/>
        </w:rPr>
        <w:t>29</w:t>
      </w:r>
      <w:r w:rsidR="00986F06">
        <w:rPr>
          <w:rFonts w:ascii="宋体" w:hAnsi="宋体" w:hint="eastAsia"/>
          <w:sz w:val="24"/>
          <w:szCs w:val="24"/>
        </w:rPr>
        <w:t>日披露的</w:t>
      </w:r>
      <w:r w:rsidR="00987D68">
        <w:rPr>
          <w:rFonts w:ascii="宋体" w:hAnsi="宋体" w:hint="eastAsia"/>
          <w:sz w:val="24"/>
          <w:szCs w:val="24"/>
        </w:rPr>
        <w:t>2018</w:t>
      </w:r>
      <w:r w:rsidR="000A642B">
        <w:rPr>
          <w:rFonts w:ascii="宋体" w:hAnsi="宋体" w:hint="eastAsia"/>
          <w:sz w:val="24"/>
          <w:szCs w:val="24"/>
        </w:rPr>
        <w:t>年</w:t>
      </w:r>
      <w:r w:rsidRPr="009B06B2">
        <w:rPr>
          <w:rFonts w:ascii="宋体" w:hAnsi="宋体"/>
          <w:sz w:val="24"/>
          <w:szCs w:val="24"/>
        </w:rPr>
        <w:t>第三季度报告中对201</w:t>
      </w:r>
      <w:r w:rsidR="00987D68">
        <w:rPr>
          <w:rFonts w:ascii="宋体" w:hAnsi="宋体" w:hint="eastAsia"/>
          <w:sz w:val="24"/>
          <w:szCs w:val="24"/>
        </w:rPr>
        <w:t>8</w:t>
      </w:r>
      <w:r w:rsidRPr="009B06B2">
        <w:rPr>
          <w:rFonts w:ascii="宋体" w:hAnsi="宋体"/>
          <w:sz w:val="24"/>
          <w:szCs w:val="24"/>
        </w:rPr>
        <w:t>年度的业绩预计为：</w:t>
      </w:r>
      <w:r w:rsidRPr="009B06B2">
        <w:rPr>
          <w:rFonts w:ascii="宋体" w:hAnsi="宋体" w:hint="eastAsia"/>
          <w:sz w:val="24"/>
          <w:szCs w:val="24"/>
        </w:rPr>
        <w:t>“</w:t>
      </w:r>
      <w:r w:rsidR="00987D68">
        <w:rPr>
          <w:rFonts w:ascii="宋体" w:hAnsi="宋体" w:hint="eastAsia"/>
          <w:sz w:val="24"/>
          <w:szCs w:val="24"/>
        </w:rPr>
        <w:t>2018</w:t>
      </w:r>
      <w:r w:rsidRPr="009B06B2">
        <w:rPr>
          <w:rFonts w:ascii="宋体" w:hAnsi="宋体" w:hint="eastAsia"/>
          <w:sz w:val="24"/>
          <w:szCs w:val="24"/>
        </w:rPr>
        <w:t>年度归属于上市公司股东的净利润变动幅度</w:t>
      </w:r>
      <w:r w:rsidR="00463FB0">
        <w:rPr>
          <w:rFonts w:ascii="宋体" w:hAnsi="宋体" w:hint="eastAsia"/>
          <w:sz w:val="24"/>
          <w:szCs w:val="24"/>
        </w:rPr>
        <w:t>为</w:t>
      </w:r>
      <w:r w:rsidR="00987D68">
        <w:rPr>
          <w:rFonts w:ascii="宋体" w:hAnsi="宋体" w:hint="eastAsia"/>
          <w:sz w:val="24"/>
          <w:szCs w:val="24"/>
        </w:rPr>
        <w:t>1</w:t>
      </w:r>
      <w:r w:rsidR="00986F06">
        <w:rPr>
          <w:rFonts w:ascii="宋体" w:hAnsi="宋体" w:hint="eastAsia"/>
          <w:sz w:val="24"/>
          <w:szCs w:val="24"/>
        </w:rPr>
        <w:t>0</w:t>
      </w:r>
      <w:r w:rsidR="00987D68">
        <w:rPr>
          <w:rFonts w:ascii="宋体" w:hAnsi="宋体" w:hint="eastAsia"/>
          <w:sz w:val="24"/>
          <w:szCs w:val="24"/>
        </w:rPr>
        <w:t>%-3</w:t>
      </w:r>
      <w:r w:rsidRPr="009B06B2">
        <w:rPr>
          <w:rFonts w:ascii="宋体" w:hAnsi="宋体" w:hint="eastAsia"/>
          <w:sz w:val="24"/>
          <w:szCs w:val="24"/>
        </w:rPr>
        <w:t>0% ，</w:t>
      </w:r>
      <w:r w:rsidR="00987D68">
        <w:rPr>
          <w:rFonts w:ascii="宋体" w:hAnsi="宋体" w:hint="eastAsia"/>
          <w:sz w:val="24"/>
          <w:szCs w:val="24"/>
        </w:rPr>
        <w:t>2018</w:t>
      </w:r>
      <w:r w:rsidRPr="009B06B2">
        <w:rPr>
          <w:rFonts w:ascii="宋体" w:hAnsi="宋体" w:hint="eastAsia"/>
          <w:sz w:val="24"/>
          <w:szCs w:val="24"/>
        </w:rPr>
        <w:t>年度归属于上市公司股东的净利润变动区间：</w:t>
      </w:r>
      <w:r w:rsidR="00987D68">
        <w:rPr>
          <w:rFonts w:ascii="宋体" w:hAnsi="宋体" w:hint="eastAsia"/>
          <w:sz w:val="24"/>
          <w:szCs w:val="24"/>
        </w:rPr>
        <w:t>74,511.38</w:t>
      </w:r>
      <w:r w:rsidRPr="009B06B2">
        <w:rPr>
          <w:rFonts w:ascii="宋体" w:hAnsi="宋体" w:hint="eastAsia"/>
          <w:sz w:val="24"/>
          <w:szCs w:val="24"/>
        </w:rPr>
        <w:t>万元</w:t>
      </w:r>
      <w:r w:rsidR="00986F06">
        <w:rPr>
          <w:rFonts w:ascii="宋体" w:hAnsi="宋体"/>
          <w:sz w:val="24"/>
          <w:szCs w:val="24"/>
        </w:rPr>
        <w:t>—</w:t>
      </w:r>
      <w:r w:rsidR="00987D68">
        <w:rPr>
          <w:rFonts w:ascii="宋体" w:hAnsi="宋体" w:hint="eastAsia"/>
          <w:sz w:val="24"/>
          <w:szCs w:val="24"/>
        </w:rPr>
        <w:t>88,058.91</w:t>
      </w:r>
      <w:r w:rsidRPr="009B06B2">
        <w:rPr>
          <w:rFonts w:ascii="宋体" w:hAnsi="宋体" w:hint="eastAsia"/>
          <w:sz w:val="24"/>
          <w:szCs w:val="24"/>
        </w:rPr>
        <w:t>万元</w:t>
      </w:r>
      <w:r w:rsidRPr="009B06B2">
        <w:rPr>
          <w:rFonts w:ascii="宋体" w:hAnsi="宋体"/>
          <w:sz w:val="24"/>
          <w:szCs w:val="24"/>
        </w:rPr>
        <w:t>”</w:t>
      </w:r>
      <w:r w:rsidRPr="009B06B2">
        <w:rPr>
          <w:rFonts w:ascii="宋体" w:hAnsi="宋体" w:hint="eastAsia"/>
          <w:sz w:val="24"/>
          <w:szCs w:val="24"/>
        </w:rPr>
        <w:t>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本次业绩快报与前次披露的业绩预告情况不存在</w:t>
      </w:r>
      <w:r w:rsidRPr="009B06B2">
        <w:rPr>
          <w:rFonts w:ascii="宋体" w:hAnsi="宋体" w:hint="eastAsia"/>
          <w:sz w:val="24"/>
          <w:szCs w:val="24"/>
        </w:rPr>
        <w:t>重大</w:t>
      </w:r>
      <w:r w:rsidRPr="009B06B2">
        <w:rPr>
          <w:rFonts w:ascii="宋体" w:hAnsi="宋体"/>
          <w:sz w:val="24"/>
          <w:szCs w:val="24"/>
        </w:rPr>
        <w:t>差异。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四、备查文件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 w:hint="eastAsia"/>
          <w:sz w:val="24"/>
          <w:szCs w:val="24"/>
        </w:rPr>
        <w:t>1、</w:t>
      </w:r>
      <w:r w:rsidRPr="009B06B2">
        <w:rPr>
          <w:rFonts w:ascii="宋体" w:hAnsi="宋体"/>
          <w:sz w:val="24"/>
          <w:szCs w:val="24"/>
        </w:rPr>
        <w:t>经公司现任法定代表人、主管会计工作的负责人、会计机构负责人（会计主管人员）签字并盖章的比较式资产负债表和利</w:t>
      </w:r>
      <w:bookmarkStart w:id="0" w:name="_GoBack"/>
      <w:bookmarkEnd w:id="0"/>
      <w:r w:rsidRPr="009B06B2">
        <w:rPr>
          <w:rFonts w:ascii="宋体" w:hAnsi="宋体"/>
          <w:sz w:val="24"/>
          <w:szCs w:val="24"/>
        </w:rPr>
        <w:t>润表</w:t>
      </w:r>
      <w:r w:rsidRPr="009B06B2">
        <w:rPr>
          <w:rFonts w:ascii="宋体" w:hAnsi="宋体" w:hint="eastAsia"/>
          <w:sz w:val="24"/>
          <w:szCs w:val="24"/>
        </w:rPr>
        <w:t>；</w:t>
      </w:r>
    </w:p>
    <w:p w:rsidR="00A52696" w:rsidRPr="009B06B2" w:rsidRDefault="004D4AFD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 w:rsidR="00A52696" w:rsidRPr="009B06B2">
        <w:rPr>
          <w:rFonts w:ascii="宋体" w:hAnsi="宋体" w:hint="eastAsia"/>
          <w:sz w:val="24"/>
          <w:szCs w:val="24"/>
        </w:rPr>
        <w:t>内部审计部门负责人签字的内部审计报告。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特此公告。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          华孚</w:t>
      </w:r>
      <w:r w:rsidR="00866585">
        <w:rPr>
          <w:rFonts w:ascii="宋体" w:hAnsi="宋体"/>
          <w:sz w:val="24"/>
          <w:szCs w:val="24"/>
        </w:rPr>
        <w:t>时尚</w:t>
      </w:r>
      <w:r w:rsidRPr="009B06B2">
        <w:rPr>
          <w:rFonts w:ascii="宋体" w:hAnsi="宋体"/>
          <w:sz w:val="24"/>
          <w:szCs w:val="24"/>
        </w:rPr>
        <w:t>股份有限公司董事会</w:t>
      </w: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</w:t>
      </w:r>
      <w:r w:rsidRPr="009B06B2">
        <w:rPr>
          <w:rFonts w:ascii="宋体" w:hAnsi="宋体" w:hint="eastAsia"/>
          <w:sz w:val="24"/>
          <w:szCs w:val="24"/>
        </w:rPr>
        <w:t xml:space="preserve">            </w:t>
      </w:r>
      <w:r w:rsidR="00987D68">
        <w:rPr>
          <w:rFonts w:ascii="宋体" w:hAnsi="宋体" w:hint="eastAsia"/>
          <w:sz w:val="24"/>
          <w:szCs w:val="24"/>
        </w:rPr>
        <w:t>二〇一九</w:t>
      </w:r>
      <w:r w:rsidRPr="009B06B2">
        <w:rPr>
          <w:rFonts w:ascii="宋体" w:hAnsi="宋体"/>
          <w:sz w:val="24"/>
          <w:szCs w:val="24"/>
        </w:rPr>
        <w:t>年</w:t>
      </w:r>
      <w:r w:rsidR="007823A7" w:rsidRPr="009B06B2">
        <w:rPr>
          <w:rFonts w:ascii="宋体" w:hAnsi="宋体" w:hint="eastAsia"/>
          <w:sz w:val="24"/>
          <w:szCs w:val="24"/>
        </w:rPr>
        <w:t>二</w:t>
      </w:r>
      <w:r w:rsidRPr="009B06B2">
        <w:rPr>
          <w:rFonts w:ascii="宋体" w:hAnsi="宋体"/>
          <w:sz w:val="24"/>
          <w:szCs w:val="24"/>
        </w:rPr>
        <w:t>月</w:t>
      </w:r>
      <w:r w:rsidR="00C70BE2" w:rsidRPr="009B06B2">
        <w:rPr>
          <w:rFonts w:ascii="宋体" w:hAnsi="宋体" w:hint="eastAsia"/>
          <w:sz w:val="24"/>
          <w:szCs w:val="24"/>
        </w:rPr>
        <w:t>二十八</w:t>
      </w:r>
      <w:r w:rsidRPr="009B06B2">
        <w:rPr>
          <w:rFonts w:ascii="宋体" w:hAnsi="宋体"/>
          <w:sz w:val="24"/>
          <w:szCs w:val="24"/>
        </w:rPr>
        <w:t>日</w:t>
      </w:r>
    </w:p>
    <w:p w:rsidR="0060371E" w:rsidRPr="009B06B2" w:rsidRDefault="0060371E"/>
    <w:sectPr w:rsidR="0060371E" w:rsidRPr="009B06B2" w:rsidSect="00B60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ED" w:rsidRDefault="00C90FED" w:rsidP="009B06B2">
      <w:r>
        <w:separator/>
      </w:r>
    </w:p>
  </w:endnote>
  <w:endnote w:type="continuationSeparator" w:id="0">
    <w:p w:rsidR="00C90FED" w:rsidRDefault="00C90FED" w:rsidP="009B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ED" w:rsidRDefault="00C90FED" w:rsidP="009B06B2">
      <w:r>
        <w:separator/>
      </w:r>
    </w:p>
  </w:footnote>
  <w:footnote w:type="continuationSeparator" w:id="0">
    <w:p w:rsidR="00C90FED" w:rsidRDefault="00C90FED" w:rsidP="009B0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96"/>
    <w:rsid w:val="00050358"/>
    <w:rsid w:val="00087549"/>
    <w:rsid w:val="000A642B"/>
    <w:rsid w:val="00110CA2"/>
    <w:rsid w:val="00160828"/>
    <w:rsid w:val="00171561"/>
    <w:rsid w:val="00180FE9"/>
    <w:rsid w:val="001834CB"/>
    <w:rsid w:val="001F0687"/>
    <w:rsid w:val="00287EF9"/>
    <w:rsid w:val="00353A51"/>
    <w:rsid w:val="00362B17"/>
    <w:rsid w:val="00394317"/>
    <w:rsid w:val="003E3AAF"/>
    <w:rsid w:val="004311AF"/>
    <w:rsid w:val="00463FB0"/>
    <w:rsid w:val="004B05E4"/>
    <w:rsid w:val="004D4AFD"/>
    <w:rsid w:val="004E7761"/>
    <w:rsid w:val="00574D97"/>
    <w:rsid w:val="00583371"/>
    <w:rsid w:val="005C6441"/>
    <w:rsid w:val="005D64A5"/>
    <w:rsid w:val="006026A2"/>
    <w:rsid w:val="0060371E"/>
    <w:rsid w:val="00630782"/>
    <w:rsid w:val="00666BB4"/>
    <w:rsid w:val="00677B15"/>
    <w:rsid w:val="006822AB"/>
    <w:rsid w:val="006B3EE0"/>
    <w:rsid w:val="0074002F"/>
    <w:rsid w:val="007823A7"/>
    <w:rsid w:val="007B3ABB"/>
    <w:rsid w:val="007C7E0C"/>
    <w:rsid w:val="00804B61"/>
    <w:rsid w:val="00832685"/>
    <w:rsid w:val="00841BE8"/>
    <w:rsid w:val="00862A46"/>
    <w:rsid w:val="00866585"/>
    <w:rsid w:val="008C75BA"/>
    <w:rsid w:val="008D4455"/>
    <w:rsid w:val="008E5008"/>
    <w:rsid w:val="0095654E"/>
    <w:rsid w:val="00986F06"/>
    <w:rsid w:val="00987D68"/>
    <w:rsid w:val="009B06B2"/>
    <w:rsid w:val="009D0419"/>
    <w:rsid w:val="00A22881"/>
    <w:rsid w:val="00A52696"/>
    <w:rsid w:val="00A65A0D"/>
    <w:rsid w:val="00AC591E"/>
    <w:rsid w:val="00BF13AE"/>
    <w:rsid w:val="00C1244C"/>
    <w:rsid w:val="00C33FE0"/>
    <w:rsid w:val="00C70BE2"/>
    <w:rsid w:val="00C90FED"/>
    <w:rsid w:val="00CF0030"/>
    <w:rsid w:val="00D26DE7"/>
    <w:rsid w:val="00D351DC"/>
    <w:rsid w:val="00D851B2"/>
    <w:rsid w:val="00DA360D"/>
    <w:rsid w:val="00E12B31"/>
    <w:rsid w:val="00F01039"/>
    <w:rsid w:val="00F54AEF"/>
    <w:rsid w:val="00F758CC"/>
    <w:rsid w:val="00F96128"/>
    <w:rsid w:val="00FA0FE3"/>
    <w:rsid w:val="00FD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1208</Characters>
  <Application>Microsoft Office Word</Application>
  <DocSecurity>0</DocSecurity>
  <Lines>10</Lines>
  <Paragraphs>2</Paragraphs>
  <ScaleCrop>false</ScaleCrop>
  <Company>Lenovo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5</cp:revision>
  <cp:lastPrinted>2018-02-27T08:45:00Z</cp:lastPrinted>
  <dcterms:created xsi:type="dcterms:W3CDTF">2019-02-10T01:41:00Z</dcterms:created>
  <dcterms:modified xsi:type="dcterms:W3CDTF">2019-02-27T04:23:00Z</dcterms:modified>
</cp:coreProperties>
</file>