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029" w:rsidRDefault="00903029" w:rsidP="00903029">
      <w:pPr>
        <w:spacing w:before="2400" w:line="360" w:lineRule="auto"/>
        <w:jc w:val="center"/>
        <w:rPr>
          <w:rFonts w:ascii="宋体" w:eastAsia="宋体" w:hAnsi="宋体" w:cs="宋体"/>
          <w:b/>
          <w:bCs/>
          <w:sz w:val="36"/>
          <w:szCs w:val="36"/>
        </w:rPr>
      </w:pPr>
      <w:r>
        <w:rPr>
          <w:rFonts w:ascii="宋体" w:eastAsia="宋体" w:hAnsi="宋体" w:cs="宋体"/>
          <w:b/>
          <w:bCs/>
          <w:noProof/>
          <w:sz w:val="36"/>
          <w:szCs w:val="36"/>
        </w:rPr>
        <w:drawing>
          <wp:inline distT="0" distB="0" distL="0" distR="0">
            <wp:extent cx="1914525" cy="487844"/>
            <wp:effectExtent l="0" t="0" r="0" b="7620"/>
            <wp:docPr id="1" name="图片 1" descr="\\szfs\公司文件\董事会办公室\三会文件\董事会\第8届\定期会议\第八届董事会第8次会议（2024年半年报）\华孚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zfs\公司文件\董事会办公室\三会文件\董事会\第8届\定期会议\第八届董事会第8次会议（2024年半年报）\华孚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1960" cy="489738"/>
                    </a:xfrm>
                    <a:prstGeom prst="rect">
                      <a:avLst/>
                    </a:prstGeom>
                    <a:noFill/>
                    <a:ln>
                      <a:noFill/>
                    </a:ln>
                  </pic:spPr>
                </pic:pic>
              </a:graphicData>
            </a:graphic>
          </wp:inline>
        </w:drawing>
      </w:r>
    </w:p>
    <w:p w:rsidR="00037019" w:rsidRPr="00903029" w:rsidRDefault="00BE788E" w:rsidP="00903029">
      <w:pPr>
        <w:spacing w:before="600" w:line="360" w:lineRule="auto"/>
        <w:jc w:val="center"/>
        <w:rPr>
          <w:rFonts w:ascii="宋体" w:eastAsia="宋体" w:hAnsi="宋体" w:cs="宋体"/>
          <w:b/>
          <w:bCs/>
          <w:sz w:val="36"/>
          <w:szCs w:val="36"/>
        </w:rPr>
      </w:pPr>
      <w:r w:rsidRPr="00903029">
        <w:rPr>
          <w:rFonts w:ascii="宋体" w:eastAsia="宋体" w:hAnsi="宋体" w:cs="宋体"/>
          <w:b/>
          <w:bCs/>
          <w:sz w:val="36"/>
          <w:szCs w:val="36"/>
        </w:rPr>
        <w:t>华孚时尚股份有限公司</w:t>
      </w:r>
    </w:p>
    <w:p w:rsidR="00037019" w:rsidRPr="00903029" w:rsidRDefault="00BE788E" w:rsidP="00903029">
      <w:pPr>
        <w:spacing w:before="360" w:line="360" w:lineRule="auto"/>
        <w:jc w:val="center"/>
        <w:rPr>
          <w:rFonts w:ascii="宋体" w:eastAsia="宋体" w:hAnsi="宋体" w:cs="宋体"/>
          <w:b/>
          <w:bCs/>
          <w:sz w:val="36"/>
          <w:szCs w:val="36"/>
        </w:rPr>
      </w:pPr>
      <w:r w:rsidRPr="00903029">
        <w:rPr>
          <w:rFonts w:ascii="宋体" w:eastAsia="宋体" w:hAnsi="宋体" w:cs="宋体"/>
          <w:b/>
          <w:bCs/>
          <w:sz w:val="36"/>
          <w:szCs w:val="36"/>
        </w:rPr>
        <w:t>2024年半年度报告</w:t>
      </w:r>
    </w:p>
    <w:p w:rsidR="00037019" w:rsidRDefault="00037019">
      <w:pPr>
        <w:spacing w:before="1000" w:line="240" w:lineRule="exact"/>
        <w:jc w:val="center"/>
        <w:rPr>
          <w:rFonts w:ascii="宋体" w:eastAsia="宋体" w:hAnsi="宋体" w:cs="宋体"/>
          <w:b/>
          <w:bCs/>
          <w:szCs w:val="21"/>
        </w:rPr>
      </w:pPr>
    </w:p>
    <w:p w:rsidR="00037019" w:rsidRDefault="00037019">
      <w:pPr>
        <w:spacing w:before="1000" w:after="1000" w:line="0" w:lineRule="atLeast"/>
        <w:jc w:val="center"/>
        <w:rPr>
          <w:rFonts w:ascii="Times New Roman" w:eastAsia="宋体" w:hAnsi="Times New Roman" w:cs="Times New Roman"/>
        </w:rPr>
      </w:pPr>
    </w:p>
    <w:p w:rsidR="00037019" w:rsidRPr="00903029" w:rsidRDefault="00903029" w:rsidP="00903029">
      <w:pPr>
        <w:spacing w:before="600" w:line="360" w:lineRule="auto"/>
        <w:jc w:val="center"/>
        <w:rPr>
          <w:rFonts w:ascii="宋体" w:eastAsia="宋体" w:hAnsi="宋体" w:cs="宋体"/>
          <w:b/>
          <w:bCs/>
          <w:sz w:val="32"/>
          <w:szCs w:val="32"/>
        </w:rPr>
      </w:pPr>
      <w:r w:rsidRPr="00903029">
        <w:rPr>
          <w:rFonts w:ascii="宋体" w:eastAsia="宋体" w:hAnsi="宋体" w:cs="宋体" w:hint="eastAsia"/>
          <w:b/>
          <w:bCs/>
          <w:sz w:val="32"/>
          <w:szCs w:val="32"/>
        </w:rPr>
        <w:t>二〇二四年八月</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0" w:name="_Toc988889"/>
      <w:r>
        <w:rPr>
          <w:rFonts w:ascii="宋体" w:eastAsia="宋体" w:hAnsi="宋体" w:cs="宋体"/>
          <w:b/>
          <w:bCs/>
          <w:sz w:val="32"/>
          <w:szCs w:val="32"/>
        </w:rPr>
        <w:lastRenderedPageBreak/>
        <w:t>第一节 重要提示、目录和释义</w:t>
      </w:r>
      <w:bookmarkEnd w:id="0"/>
    </w:p>
    <w:p w:rsidR="00037019" w:rsidRPr="00903029" w:rsidRDefault="00BE788E" w:rsidP="00903029">
      <w:pPr>
        <w:spacing w:before="40" w:after="40" w:line="560" w:lineRule="exact"/>
        <w:ind w:firstLineChars="200" w:firstLine="482"/>
        <w:rPr>
          <w:rFonts w:ascii="宋体" w:eastAsia="宋体" w:hAnsi="宋体" w:cs="宋体"/>
          <w:b/>
          <w:bCs/>
          <w:sz w:val="24"/>
          <w:szCs w:val="24"/>
        </w:rPr>
      </w:pPr>
      <w:r w:rsidRPr="00903029">
        <w:rPr>
          <w:rFonts w:ascii="宋体" w:eastAsia="宋体" w:hAnsi="宋体" w:cs="宋体"/>
          <w:b/>
          <w:bCs/>
          <w:sz w:val="24"/>
          <w:szCs w:val="24"/>
        </w:rPr>
        <w:t>公司董事会、监事会及董事、监事、高级管理人员保证半年度报告内容的真实、准确、完整，不存在虚假记载、误导性陈述或者重大遗漏，并承担个别和连带的法律责任。</w:t>
      </w:r>
    </w:p>
    <w:p w:rsidR="00037019" w:rsidRPr="00903029" w:rsidRDefault="00BE788E" w:rsidP="00903029">
      <w:pPr>
        <w:spacing w:line="560" w:lineRule="exact"/>
        <w:ind w:firstLineChars="200" w:firstLine="482"/>
        <w:rPr>
          <w:rFonts w:ascii="宋体" w:eastAsia="宋体" w:hAnsi="宋体" w:cs="宋体"/>
          <w:b/>
          <w:bCs/>
          <w:sz w:val="24"/>
          <w:szCs w:val="24"/>
        </w:rPr>
      </w:pPr>
      <w:r w:rsidRPr="00903029">
        <w:rPr>
          <w:rFonts w:ascii="宋体" w:eastAsia="宋体" w:hAnsi="宋体" w:cs="宋体"/>
          <w:b/>
          <w:bCs/>
          <w:sz w:val="24"/>
          <w:szCs w:val="24"/>
        </w:rPr>
        <w:t>公司负责人孙伟挺、主管会计工作负责人陈玲芬及会计机构负责人(会计主管人员)王国友声明：</w:t>
      </w:r>
      <w:proofErr w:type="gramStart"/>
      <w:r w:rsidRPr="00903029">
        <w:rPr>
          <w:rFonts w:ascii="宋体" w:eastAsia="宋体" w:hAnsi="宋体" w:cs="宋体"/>
          <w:b/>
          <w:bCs/>
          <w:sz w:val="24"/>
          <w:szCs w:val="24"/>
        </w:rPr>
        <w:t>保证本半年度</w:t>
      </w:r>
      <w:proofErr w:type="gramEnd"/>
      <w:r w:rsidRPr="00903029">
        <w:rPr>
          <w:rFonts w:ascii="宋体" w:eastAsia="宋体" w:hAnsi="宋体" w:cs="宋体"/>
          <w:b/>
          <w:bCs/>
          <w:sz w:val="24"/>
          <w:szCs w:val="24"/>
        </w:rPr>
        <w:t>报告中财务报告的真实、准确、完整。</w:t>
      </w:r>
    </w:p>
    <w:p w:rsidR="00037019" w:rsidRPr="00903029" w:rsidRDefault="00BE788E" w:rsidP="00903029">
      <w:pPr>
        <w:spacing w:line="560" w:lineRule="exact"/>
        <w:ind w:firstLineChars="200" w:firstLine="482"/>
        <w:rPr>
          <w:rFonts w:ascii="宋体" w:eastAsia="宋体" w:hAnsi="宋体" w:cs="宋体"/>
          <w:b/>
          <w:bCs/>
          <w:sz w:val="24"/>
          <w:szCs w:val="24"/>
        </w:rPr>
      </w:pPr>
      <w:r w:rsidRPr="00903029">
        <w:rPr>
          <w:rFonts w:ascii="宋体" w:eastAsia="宋体" w:hAnsi="宋体" w:cs="宋体"/>
          <w:b/>
          <w:bCs/>
          <w:sz w:val="24"/>
          <w:szCs w:val="24"/>
        </w:rPr>
        <w:t>所有董事均</w:t>
      </w:r>
      <w:proofErr w:type="gramStart"/>
      <w:r w:rsidRPr="00903029">
        <w:rPr>
          <w:rFonts w:ascii="宋体" w:eastAsia="宋体" w:hAnsi="宋体" w:cs="宋体"/>
          <w:b/>
          <w:bCs/>
          <w:sz w:val="24"/>
          <w:szCs w:val="24"/>
        </w:rPr>
        <w:t>已出席</w:t>
      </w:r>
      <w:proofErr w:type="gramEnd"/>
      <w:r w:rsidRPr="00903029">
        <w:rPr>
          <w:rFonts w:ascii="宋体" w:eastAsia="宋体" w:hAnsi="宋体" w:cs="宋体"/>
          <w:b/>
          <w:bCs/>
          <w:sz w:val="24"/>
          <w:szCs w:val="24"/>
        </w:rPr>
        <w:t>了审议本次半年报的董事会会议。</w:t>
      </w:r>
    </w:p>
    <w:p w:rsidR="00BE788E" w:rsidRPr="00903029" w:rsidRDefault="00BE788E">
      <w:pPr>
        <w:pStyle w:val="a3"/>
        <w:spacing w:line="560" w:lineRule="atLeast"/>
        <w:ind w:firstLine="480"/>
        <w:divId w:val="1252858251"/>
        <w:rPr>
          <w:b/>
          <w:bCs/>
        </w:rPr>
      </w:pPr>
      <w:r w:rsidRPr="00903029">
        <w:rPr>
          <w:rFonts w:hint="eastAsia"/>
          <w:b/>
          <w:bCs/>
        </w:rPr>
        <w:t>公司已在本报告中详细描述了存在的风险事项，敬请投资者查阅本报告“第三节：管理层讨论与分析”，“十一、公司面临的风险和应对措施”。</w:t>
      </w:r>
    </w:p>
    <w:p w:rsidR="00037019" w:rsidRPr="00903029" w:rsidRDefault="00BE788E" w:rsidP="00903029">
      <w:pPr>
        <w:spacing w:line="560" w:lineRule="exact"/>
        <w:ind w:firstLineChars="200" w:firstLine="482"/>
        <w:rPr>
          <w:rFonts w:ascii="宋体" w:eastAsia="宋体" w:hAnsi="宋体" w:cs="宋体"/>
          <w:b/>
          <w:bCs/>
          <w:sz w:val="24"/>
          <w:szCs w:val="24"/>
        </w:rPr>
      </w:pPr>
      <w:r w:rsidRPr="00903029">
        <w:rPr>
          <w:rFonts w:ascii="宋体" w:eastAsia="宋体" w:hAnsi="宋体" w:cs="宋体"/>
          <w:b/>
          <w:bCs/>
          <w:sz w:val="24"/>
          <w:szCs w:val="24"/>
        </w:rPr>
        <w:t>公司计划</w:t>
      </w:r>
      <w:proofErr w:type="gramStart"/>
      <w:r w:rsidRPr="00903029">
        <w:rPr>
          <w:rFonts w:ascii="宋体" w:eastAsia="宋体" w:hAnsi="宋体" w:cs="宋体"/>
          <w:b/>
          <w:bCs/>
          <w:sz w:val="24"/>
          <w:szCs w:val="24"/>
        </w:rPr>
        <w:t>不</w:t>
      </w:r>
      <w:proofErr w:type="gramEnd"/>
      <w:r w:rsidRPr="00903029">
        <w:rPr>
          <w:rFonts w:ascii="宋体" w:eastAsia="宋体" w:hAnsi="宋体" w:cs="宋体"/>
          <w:b/>
          <w:bCs/>
          <w:sz w:val="24"/>
          <w:szCs w:val="24"/>
        </w:rPr>
        <w:t>派发现金红利，不送红股，不以公积金转增股本。</w:t>
      </w:r>
    </w:p>
    <w:p w:rsidR="00037019" w:rsidRDefault="00BE788E">
      <w:r>
        <w:br w:type="page"/>
      </w:r>
    </w:p>
    <w:p w:rsidR="00037019" w:rsidRDefault="00BE788E">
      <w:pPr>
        <w:spacing w:line="720" w:lineRule="exact"/>
        <w:jc w:val="center"/>
        <w:rPr>
          <w:rFonts w:ascii="宋体" w:eastAsia="宋体" w:hAnsi="宋体" w:cs="宋体"/>
          <w:b/>
          <w:bCs/>
          <w:sz w:val="36"/>
          <w:szCs w:val="36"/>
        </w:rPr>
      </w:pPr>
      <w:r>
        <w:rPr>
          <w:rFonts w:ascii="宋体" w:eastAsia="宋体" w:hAnsi="宋体" w:cs="宋体"/>
          <w:b/>
          <w:bCs/>
          <w:sz w:val="36"/>
          <w:szCs w:val="36"/>
        </w:rPr>
        <w:lastRenderedPageBreak/>
        <w:t>目录</w:t>
      </w:r>
    </w:p>
    <w:p w:rsidR="00037019" w:rsidRDefault="00BE788E">
      <w:pPr>
        <w:pStyle w:val="1"/>
        <w:tabs>
          <w:tab w:val="left" w:leader="dot" w:pos="9469"/>
        </w:tabs>
        <w:rPr>
          <w:noProof/>
        </w:rPr>
      </w:pPr>
      <w:r>
        <w:fldChar w:fldCharType="begin"/>
      </w:r>
      <w:r>
        <w:instrText xml:space="preserve"> </w:instrText>
      </w:r>
      <w:r>
        <w:rPr>
          <w:rFonts w:ascii="宋体" w:eastAsia="宋体" w:hAnsi="宋体" w:hint="eastAsia"/>
        </w:rPr>
        <w:instrText>TOC \o "1-2" \h \z \u</w:instrText>
      </w:r>
      <w:r>
        <w:instrText xml:space="preserve"> </w:instrText>
      </w:r>
      <w:r>
        <w:fldChar w:fldCharType="separate"/>
      </w:r>
      <w:hyperlink w:anchor="_Toc988889" w:history="1">
        <w:r>
          <w:rPr>
            <w:rFonts w:ascii="宋体" w:eastAsia="宋体" w:hAnsi="宋体" w:hint="eastAsia"/>
            <w:b/>
            <w:bCs/>
            <w:noProof/>
            <w:sz w:val="24"/>
          </w:rPr>
          <w:t>第一节 重要提示、目录和释义</w:t>
        </w:r>
        <w:r>
          <w:rPr>
            <w:noProof/>
            <w:webHidden/>
          </w:rPr>
          <w:tab/>
        </w:r>
        <w:r>
          <w:rPr>
            <w:noProof/>
            <w:webHidden/>
          </w:rPr>
          <w:fldChar w:fldCharType="begin"/>
        </w:r>
        <w:r>
          <w:rPr>
            <w:noProof/>
            <w:webHidden/>
          </w:rPr>
          <w:instrText xml:space="preserve"> PAGEREF _Toc988889 \h </w:instrText>
        </w:r>
        <w:r>
          <w:rPr>
            <w:noProof/>
            <w:webHidden/>
          </w:rPr>
        </w:r>
        <w:r>
          <w:rPr>
            <w:noProof/>
            <w:webHidden/>
          </w:rPr>
          <w:fldChar w:fldCharType="separate"/>
        </w:r>
        <w:r w:rsidR="003940A7">
          <w:rPr>
            <w:noProof/>
            <w:webHidden/>
          </w:rPr>
          <w:t>2</w:t>
        </w:r>
        <w:r>
          <w:rPr>
            <w:noProof/>
            <w:webHidden/>
          </w:rPr>
          <w:fldChar w:fldCharType="end"/>
        </w:r>
      </w:hyperlink>
    </w:p>
    <w:p w:rsidR="00037019" w:rsidRDefault="00A47D41">
      <w:pPr>
        <w:pStyle w:val="1"/>
        <w:tabs>
          <w:tab w:val="left" w:leader="dot" w:pos="9469"/>
        </w:tabs>
        <w:rPr>
          <w:noProof/>
        </w:rPr>
      </w:pPr>
      <w:hyperlink w:anchor="_Toc988890" w:history="1">
        <w:r w:rsidR="00BE788E">
          <w:rPr>
            <w:rFonts w:ascii="宋体" w:eastAsia="宋体" w:hAnsi="宋体" w:hint="eastAsia"/>
            <w:b/>
            <w:bCs/>
            <w:noProof/>
            <w:sz w:val="24"/>
          </w:rPr>
          <w:t>第二节 公司简介和主要财务指标</w:t>
        </w:r>
        <w:r w:rsidR="00BE788E">
          <w:rPr>
            <w:noProof/>
            <w:webHidden/>
          </w:rPr>
          <w:tab/>
        </w:r>
        <w:r w:rsidR="00BE788E">
          <w:rPr>
            <w:noProof/>
            <w:webHidden/>
          </w:rPr>
          <w:fldChar w:fldCharType="begin"/>
        </w:r>
        <w:r w:rsidR="00BE788E">
          <w:rPr>
            <w:noProof/>
            <w:webHidden/>
          </w:rPr>
          <w:instrText xml:space="preserve"> PAGEREF _Toc988890 \h </w:instrText>
        </w:r>
        <w:r w:rsidR="00BE788E">
          <w:rPr>
            <w:noProof/>
            <w:webHidden/>
          </w:rPr>
        </w:r>
        <w:r w:rsidR="00BE788E">
          <w:rPr>
            <w:noProof/>
            <w:webHidden/>
          </w:rPr>
          <w:fldChar w:fldCharType="separate"/>
        </w:r>
        <w:r w:rsidR="003940A7">
          <w:rPr>
            <w:noProof/>
            <w:webHidden/>
          </w:rPr>
          <w:t>6</w:t>
        </w:r>
        <w:r w:rsidR="00BE788E">
          <w:rPr>
            <w:noProof/>
            <w:webHidden/>
          </w:rPr>
          <w:fldChar w:fldCharType="end"/>
        </w:r>
      </w:hyperlink>
    </w:p>
    <w:p w:rsidR="00037019" w:rsidRDefault="00A47D41">
      <w:pPr>
        <w:pStyle w:val="1"/>
        <w:tabs>
          <w:tab w:val="left" w:leader="dot" w:pos="9469"/>
        </w:tabs>
        <w:rPr>
          <w:noProof/>
        </w:rPr>
      </w:pPr>
      <w:hyperlink w:anchor="_Toc988902" w:history="1">
        <w:r w:rsidR="00BE788E">
          <w:rPr>
            <w:rFonts w:ascii="宋体" w:eastAsia="宋体" w:hAnsi="宋体" w:hint="eastAsia"/>
            <w:b/>
            <w:bCs/>
            <w:noProof/>
            <w:sz w:val="24"/>
          </w:rPr>
          <w:t>第三节 管理层讨论与分析</w:t>
        </w:r>
        <w:r w:rsidR="00BE788E">
          <w:rPr>
            <w:noProof/>
            <w:webHidden/>
          </w:rPr>
          <w:tab/>
        </w:r>
        <w:r w:rsidR="00BE788E">
          <w:rPr>
            <w:noProof/>
            <w:webHidden/>
          </w:rPr>
          <w:fldChar w:fldCharType="begin"/>
        </w:r>
        <w:r w:rsidR="00BE788E">
          <w:rPr>
            <w:noProof/>
            <w:webHidden/>
          </w:rPr>
          <w:instrText xml:space="preserve"> PAGEREF _Toc988902 \h </w:instrText>
        </w:r>
        <w:r w:rsidR="00BE788E">
          <w:rPr>
            <w:noProof/>
            <w:webHidden/>
          </w:rPr>
        </w:r>
        <w:r w:rsidR="00BE788E">
          <w:rPr>
            <w:noProof/>
            <w:webHidden/>
          </w:rPr>
          <w:fldChar w:fldCharType="separate"/>
        </w:r>
        <w:r w:rsidR="003940A7">
          <w:rPr>
            <w:noProof/>
            <w:webHidden/>
          </w:rPr>
          <w:t>9</w:t>
        </w:r>
        <w:r w:rsidR="00BE788E">
          <w:rPr>
            <w:noProof/>
            <w:webHidden/>
          </w:rPr>
          <w:fldChar w:fldCharType="end"/>
        </w:r>
      </w:hyperlink>
    </w:p>
    <w:p w:rsidR="00037019" w:rsidRDefault="00A47D41">
      <w:pPr>
        <w:pStyle w:val="1"/>
        <w:tabs>
          <w:tab w:val="left" w:leader="dot" w:pos="9469"/>
        </w:tabs>
        <w:rPr>
          <w:noProof/>
        </w:rPr>
      </w:pPr>
      <w:hyperlink w:anchor="_Toc988942" w:history="1">
        <w:r w:rsidR="00BE788E">
          <w:rPr>
            <w:rFonts w:ascii="宋体" w:eastAsia="宋体" w:hAnsi="宋体" w:hint="eastAsia"/>
            <w:b/>
            <w:bCs/>
            <w:noProof/>
            <w:sz w:val="24"/>
          </w:rPr>
          <w:t>第四节 公司治理</w:t>
        </w:r>
        <w:r w:rsidR="00BE788E">
          <w:rPr>
            <w:noProof/>
            <w:webHidden/>
          </w:rPr>
          <w:tab/>
        </w:r>
        <w:r w:rsidR="00BE788E">
          <w:rPr>
            <w:noProof/>
            <w:webHidden/>
          </w:rPr>
          <w:fldChar w:fldCharType="begin"/>
        </w:r>
        <w:r w:rsidR="00BE788E">
          <w:rPr>
            <w:noProof/>
            <w:webHidden/>
          </w:rPr>
          <w:instrText xml:space="preserve"> PAGEREF _Toc988942 \h </w:instrText>
        </w:r>
        <w:r w:rsidR="00BE788E">
          <w:rPr>
            <w:noProof/>
            <w:webHidden/>
          </w:rPr>
        </w:r>
        <w:r w:rsidR="00BE788E">
          <w:rPr>
            <w:noProof/>
            <w:webHidden/>
          </w:rPr>
          <w:fldChar w:fldCharType="separate"/>
        </w:r>
        <w:r w:rsidR="003940A7">
          <w:rPr>
            <w:noProof/>
            <w:webHidden/>
          </w:rPr>
          <w:t>26</w:t>
        </w:r>
        <w:r w:rsidR="00BE788E">
          <w:rPr>
            <w:noProof/>
            <w:webHidden/>
          </w:rPr>
          <w:fldChar w:fldCharType="end"/>
        </w:r>
      </w:hyperlink>
    </w:p>
    <w:p w:rsidR="00037019" w:rsidRDefault="00A47D41">
      <w:pPr>
        <w:pStyle w:val="1"/>
        <w:tabs>
          <w:tab w:val="left" w:leader="dot" w:pos="9469"/>
        </w:tabs>
        <w:rPr>
          <w:noProof/>
        </w:rPr>
      </w:pPr>
      <w:hyperlink w:anchor="_Toc988949" w:history="1">
        <w:r w:rsidR="00BE788E">
          <w:rPr>
            <w:rFonts w:ascii="宋体" w:eastAsia="宋体" w:hAnsi="宋体" w:hint="eastAsia"/>
            <w:b/>
            <w:bCs/>
            <w:noProof/>
            <w:sz w:val="24"/>
          </w:rPr>
          <w:t>第五节 环境和社会责任</w:t>
        </w:r>
        <w:r w:rsidR="00BE788E">
          <w:rPr>
            <w:noProof/>
            <w:webHidden/>
          </w:rPr>
          <w:tab/>
        </w:r>
        <w:r w:rsidR="00BE788E">
          <w:rPr>
            <w:noProof/>
            <w:webHidden/>
          </w:rPr>
          <w:fldChar w:fldCharType="begin"/>
        </w:r>
        <w:r w:rsidR="00BE788E">
          <w:rPr>
            <w:noProof/>
            <w:webHidden/>
          </w:rPr>
          <w:instrText xml:space="preserve"> PAGEREF _Toc988949 \h </w:instrText>
        </w:r>
        <w:r w:rsidR="00BE788E">
          <w:rPr>
            <w:noProof/>
            <w:webHidden/>
          </w:rPr>
        </w:r>
        <w:r w:rsidR="00BE788E">
          <w:rPr>
            <w:noProof/>
            <w:webHidden/>
          </w:rPr>
          <w:fldChar w:fldCharType="separate"/>
        </w:r>
        <w:r w:rsidR="003940A7">
          <w:rPr>
            <w:noProof/>
            <w:webHidden/>
          </w:rPr>
          <w:t>27</w:t>
        </w:r>
        <w:r w:rsidR="00BE788E">
          <w:rPr>
            <w:noProof/>
            <w:webHidden/>
          </w:rPr>
          <w:fldChar w:fldCharType="end"/>
        </w:r>
      </w:hyperlink>
    </w:p>
    <w:p w:rsidR="00037019" w:rsidRDefault="00A47D41">
      <w:pPr>
        <w:pStyle w:val="1"/>
        <w:tabs>
          <w:tab w:val="left" w:leader="dot" w:pos="9469"/>
        </w:tabs>
        <w:rPr>
          <w:noProof/>
        </w:rPr>
      </w:pPr>
      <w:hyperlink w:anchor="_Toc988952" w:history="1">
        <w:r w:rsidR="00BE788E">
          <w:rPr>
            <w:rFonts w:ascii="宋体" w:eastAsia="宋体" w:hAnsi="宋体" w:hint="eastAsia"/>
            <w:b/>
            <w:bCs/>
            <w:noProof/>
            <w:sz w:val="24"/>
          </w:rPr>
          <w:t>第六节 重要事项</w:t>
        </w:r>
        <w:r w:rsidR="00BE788E">
          <w:rPr>
            <w:noProof/>
            <w:webHidden/>
          </w:rPr>
          <w:tab/>
        </w:r>
        <w:r w:rsidR="00BE788E">
          <w:rPr>
            <w:noProof/>
            <w:webHidden/>
          </w:rPr>
          <w:fldChar w:fldCharType="begin"/>
        </w:r>
        <w:r w:rsidR="00BE788E">
          <w:rPr>
            <w:noProof/>
            <w:webHidden/>
          </w:rPr>
          <w:instrText xml:space="preserve"> PAGEREF _Toc988952 \h </w:instrText>
        </w:r>
        <w:r w:rsidR="00BE788E">
          <w:rPr>
            <w:noProof/>
            <w:webHidden/>
          </w:rPr>
        </w:r>
        <w:r w:rsidR="00BE788E">
          <w:rPr>
            <w:noProof/>
            <w:webHidden/>
          </w:rPr>
          <w:fldChar w:fldCharType="separate"/>
        </w:r>
        <w:r w:rsidR="003940A7">
          <w:rPr>
            <w:noProof/>
            <w:webHidden/>
          </w:rPr>
          <w:t>29</w:t>
        </w:r>
        <w:r w:rsidR="00BE788E">
          <w:rPr>
            <w:noProof/>
            <w:webHidden/>
          </w:rPr>
          <w:fldChar w:fldCharType="end"/>
        </w:r>
      </w:hyperlink>
    </w:p>
    <w:p w:rsidR="00037019" w:rsidRDefault="00A47D41">
      <w:pPr>
        <w:pStyle w:val="1"/>
        <w:tabs>
          <w:tab w:val="left" w:leader="dot" w:pos="9469"/>
        </w:tabs>
        <w:rPr>
          <w:noProof/>
        </w:rPr>
      </w:pPr>
      <w:hyperlink w:anchor="_Toc988981" w:history="1">
        <w:r w:rsidR="00BE788E">
          <w:rPr>
            <w:rFonts w:ascii="宋体" w:eastAsia="宋体" w:hAnsi="宋体" w:hint="eastAsia"/>
            <w:b/>
            <w:bCs/>
            <w:noProof/>
            <w:sz w:val="24"/>
          </w:rPr>
          <w:t>第七节 股份变动及股东情况</w:t>
        </w:r>
        <w:r w:rsidR="00BE788E">
          <w:rPr>
            <w:noProof/>
            <w:webHidden/>
          </w:rPr>
          <w:tab/>
        </w:r>
        <w:r w:rsidR="00BE788E">
          <w:rPr>
            <w:noProof/>
            <w:webHidden/>
          </w:rPr>
          <w:fldChar w:fldCharType="begin"/>
        </w:r>
        <w:r w:rsidR="00BE788E">
          <w:rPr>
            <w:noProof/>
            <w:webHidden/>
          </w:rPr>
          <w:instrText xml:space="preserve"> PAGEREF _Toc988981 \h </w:instrText>
        </w:r>
        <w:r w:rsidR="00BE788E">
          <w:rPr>
            <w:noProof/>
            <w:webHidden/>
          </w:rPr>
        </w:r>
        <w:r w:rsidR="00BE788E">
          <w:rPr>
            <w:noProof/>
            <w:webHidden/>
          </w:rPr>
          <w:fldChar w:fldCharType="separate"/>
        </w:r>
        <w:r w:rsidR="003940A7">
          <w:rPr>
            <w:noProof/>
            <w:webHidden/>
          </w:rPr>
          <w:t>36</w:t>
        </w:r>
        <w:r w:rsidR="00BE788E">
          <w:rPr>
            <w:noProof/>
            <w:webHidden/>
          </w:rPr>
          <w:fldChar w:fldCharType="end"/>
        </w:r>
      </w:hyperlink>
    </w:p>
    <w:p w:rsidR="00037019" w:rsidRDefault="00A47D41">
      <w:pPr>
        <w:pStyle w:val="1"/>
        <w:tabs>
          <w:tab w:val="left" w:leader="dot" w:pos="9469"/>
        </w:tabs>
        <w:rPr>
          <w:noProof/>
        </w:rPr>
      </w:pPr>
      <w:hyperlink w:anchor="_Toc988989" w:history="1">
        <w:r w:rsidR="00BE788E">
          <w:rPr>
            <w:rFonts w:ascii="宋体" w:eastAsia="宋体" w:hAnsi="宋体" w:hint="eastAsia"/>
            <w:b/>
            <w:bCs/>
            <w:noProof/>
            <w:sz w:val="24"/>
          </w:rPr>
          <w:t>第八节 优先股相关情况</w:t>
        </w:r>
        <w:r w:rsidR="00BE788E">
          <w:rPr>
            <w:noProof/>
            <w:webHidden/>
          </w:rPr>
          <w:tab/>
        </w:r>
        <w:r w:rsidR="00BE788E">
          <w:rPr>
            <w:noProof/>
            <w:webHidden/>
          </w:rPr>
          <w:fldChar w:fldCharType="begin"/>
        </w:r>
        <w:r w:rsidR="00BE788E">
          <w:rPr>
            <w:noProof/>
            <w:webHidden/>
          </w:rPr>
          <w:instrText xml:space="preserve"> PAGEREF _Toc988989 \h </w:instrText>
        </w:r>
        <w:r w:rsidR="00BE788E">
          <w:rPr>
            <w:noProof/>
            <w:webHidden/>
          </w:rPr>
        </w:r>
        <w:r w:rsidR="00BE788E">
          <w:rPr>
            <w:noProof/>
            <w:webHidden/>
          </w:rPr>
          <w:fldChar w:fldCharType="separate"/>
        </w:r>
        <w:r w:rsidR="003940A7">
          <w:rPr>
            <w:noProof/>
            <w:webHidden/>
          </w:rPr>
          <w:t>40</w:t>
        </w:r>
        <w:r w:rsidR="00BE788E">
          <w:rPr>
            <w:noProof/>
            <w:webHidden/>
          </w:rPr>
          <w:fldChar w:fldCharType="end"/>
        </w:r>
      </w:hyperlink>
    </w:p>
    <w:p w:rsidR="00037019" w:rsidRDefault="00A47D41">
      <w:pPr>
        <w:pStyle w:val="1"/>
        <w:tabs>
          <w:tab w:val="left" w:leader="dot" w:pos="9469"/>
        </w:tabs>
        <w:rPr>
          <w:noProof/>
        </w:rPr>
      </w:pPr>
      <w:hyperlink w:anchor="_Toc988990" w:history="1">
        <w:r w:rsidR="00BE788E">
          <w:rPr>
            <w:rFonts w:ascii="宋体" w:eastAsia="宋体" w:hAnsi="宋体" w:hint="eastAsia"/>
            <w:b/>
            <w:bCs/>
            <w:noProof/>
            <w:sz w:val="24"/>
          </w:rPr>
          <w:t>第九节 债券相关情况</w:t>
        </w:r>
        <w:r w:rsidR="00BE788E">
          <w:rPr>
            <w:noProof/>
            <w:webHidden/>
          </w:rPr>
          <w:tab/>
        </w:r>
        <w:r w:rsidR="00BE788E">
          <w:rPr>
            <w:noProof/>
            <w:webHidden/>
          </w:rPr>
          <w:fldChar w:fldCharType="begin"/>
        </w:r>
        <w:r w:rsidR="00BE788E">
          <w:rPr>
            <w:noProof/>
            <w:webHidden/>
          </w:rPr>
          <w:instrText xml:space="preserve"> PAGEREF _Toc988990 \h </w:instrText>
        </w:r>
        <w:r w:rsidR="00BE788E">
          <w:rPr>
            <w:noProof/>
            <w:webHidden/>
          </w:rPr>
        </w:r>
        <w:r w:rsidR="00BE788E">
          <w:rPr>
            <w:noProof/>
            <w:webHidden/>
          </w:rPr>
          <w:fldChar w:fldCharType="separate"/>
        </w:r>
        <w:r w:rsidR="003940A7">
          <w:rPr>
            <w:noProof/>
            <w:webHidden/>
          </w:rPr>
          <w:t>41</w:t>
        </w:r>
        <w:r w:rsidR="00BE788E">
          <w:rPr>
            <w:noProof/>
            <w:webHidden/>
          </w:rPr>
          <w:fldChar w:fldCharType="end"/>
        </w:r>
      </w:hyperlink>
    </w:p>
    <w:p w:rsidR="00037019" w:rsidRDefault="00A47D41">
      <w:pPr>
        <w:pStyle w:val="1"/>
        <w:tabs>
          <w:tab w:val="left" w:leader="dot" w:pos="9469"/>
        </w:tabs>
        <w:rPr>
          <w:noProof/>
        </w:rPr>
      </w:pPr>
      <w:hyperlink w:anchor="_Toc988991" w:history="1">
        <w:r w:rsidR="00BE788E">
          <w:rPr>
            <w:rFonts w:ascii="宋体" w:eastAsia="宋体" w:hAnsi="宋体" w:hint="eastAsia"/>
            <w:b/>
            <w:bCs/>
            <w:noProof/>
            <w:sz w:val="24"/>
          </w:rPr>
          <w:t>第十节 财务报告</w:t>
        </w:r>
        <w:r w:rsidR="00BE788E">
          <w:rPr>
            <w:noProof/>
            <w:webHidden/>
          </w:rPr>
          <w:tab/>
        </w:r>
        <w:r w:rsidR="00BE788E">
          <w:rPr>
            <w:noProof/>
            <w:webHidden/>
          </w:rPr>
          <w:fldChar w:fldCharType="begin"/>
        </w:r>
        <w:r w:rsidR="00BE788E">
          <w:rPr>
            <w:noProof/>
            <w:webHidden/>
          </w:rPr>
          <w:instrText xml:space="preserve"> PAGEREF _Toc988991 \h </w:instrText>
        </w:r>
        <w:r w:rsidR="00BE788E">
          <w:rPr>
            <w:noProof/>
            <w:webHidden/>
          </w:rPr>
        </w:r>
        <w:r w:rsidR="00BE788E">
          <w:rPr>
            <w:noProof/>
            <w:webHidden/>
          </w:rPr>
          <w:fldChar w:fldCharType="separate"/>
        </w:r>
        <w:r w:rsidR="003940A7">
          <w:rPr>
            <w:noProof/>
            <w:webHidden/>
          </w:rPr>
          <w:t>42</w:t>
        </w:r>
        <w:r w:rsidR="00BE788E">
          <w:rPr>
            <w:noProof/>
            <w:webHidden/>
          </w:rPr>
          <w:fldChar w:fldCharType="end"/>
        </w:r>
      </w:hyperlink>
      <w:r w:rsidR="00BE788E">
        <w:fldChar w:fldCharType="end"/>
      </w:r>
    </w:p>
    <w:p w:rsidR="00037019" w:rsidRDefault="00BE788E">
      <w:r>
        <w:br w:type="page"/>
      </w:r>
    </w:p>
    <w:p w:rsidR="00037019" w:rsidRDefault="00BE788E">
      <w:pPr>
        <w:spacing w:line="640" w:lineRule="exact"/>
        <w:jc w:val="center"/>
        <w:rPr>
          <w:rFonts w:ascii="宋体" w:eastAsia="宋体" w:hAnsi="宋体" w:cs="宋体"/>
          <w:b/>
          <w:bCs/>
          <w:sz w:val="32"/>
          <w:szCs w:val="32"/>
        </w:rPr>
      </w:pPr>
      <w:r>
        <w:rPr>
          <w:rFonts w:ascii="宋体" w:eastAsia="宋体" w:hAnsi="宋体" w:cs="宋体"/>
          <w:b/>
          <w:bCs/>
          <w:sz w:val="32"/>
          <w:szCs w:val="32"/>
        </w:rPr>
        <w:lastRenderedPageBreak/>
        <w:t>备查文件目录</w:t>
      </w:r>
    </w:p>
    <w:p w:rsidR="00BE788E" w:rsidRDefault="00BE788E">
      <w:pPr>
        <w:pStyle w:val="a3"/>
        <w:spacing w:line="560" w:lineRule="atLeast"/>
        <w:divId w:val="2126535894"/>
        <w:rPr>
          <w:sz w:val="18"/>
          <w:szCs w:val="18"/>
        </w:rPr>
      </w:pPr>
      <w:r>
        <w:rPr>
          <w:rFonts w:hint="eastAsia"/>
          <w:sz w:val="18"/>
          <w:szCs w:val="18"/>
        </w:rPr>
        <w:t>1、载有法定代表人孙伟挺先生签名的2024年半年度报告全文及摘要；</w:t>
      </w:r>
    </w:p>
    <w:p w:rsidR="00BE788E" w:rsidRDefault="00BE788E">
      <w:pPr>
        <w:pStyle w:val="a3"/>
        <w:spacing w:line="560" w:lineRule="atLeast"/>
        <w:divId w:val="2126535894"/>
        <w:rPr>
          <w:sz w:val="18"/>
          <w:szCs w:val="18"/>
        </w:rPr>
      </w:pPr>
      <w:r>
        <w:rPr>
          <w:rFonts w:hint="eastAsia"/>
          <w:sz w:val="18"/>
          <w:szCs w:val="18"/>
        </w:rPr>
        <w:t>2、载有公司负责人、主管会计工作负责人、会计机构负责人（会计主管人员）签名并盖章的财务报表；</w:t>
      </w:r>
    </w:p>
    <w:p w:rsidR="00BE788E" w:rsidRDefault="00BE788E">
      <w:pPr>
        <w:pStyle w:val="a3"/>
        <w:spacing w:line="560" w:lineRule="atLeast"/>
        <w:divId w:val="2126535894"/>
        <w:rPr>
          <w:sz w:val="18"/>
          <w:szCs w:val="18"/>
        </w:rPr>
      </w:pPr>
      <w:r>
        <w:rPr>
          <w:rFonts w:hint="eastAsia"/>
          <w:sz w:val="18"/>
          <w:szCs w:val="18"/>
        </w:rPr>
        <w:t>3、报告期内在《证券时报》和《中国证券报》上公开披露过的所有公司文件的正本及公告的原件；</w:t>
      </w:r>
    </w:p>
    <w:p w:rsidR="00037019" w:rsidRDefault="00BE788E">
      <w:r>
        <w:br w:type="page"/>
      </w:r>
    </w:p>
    <w:p w:rsidR="00037019" w:rsidRDefault="00BE788E">
      <w:pPr>
        <w:spacing w:before="40" w:after="40" w:line="640" w:lineRule="exact"/>
        <w:jc w:val="center"/>
        <w:rPr>
          <w:rFonts w:ascii="宋体" w:eastAsia="宋体" w:hAnsi="宋体" w:cs="宋体"/>
          <w:b/>
          <w:bCs/>
          <w:sz w:val="32"/>
          <w:szCs w:val="32"/>
        </w:rPr>
      </w:pPr>
      <w:r>
        <w:rPr>
          <w:rFonts w:ascii="宋体" w:eastAsia="宋体" w:hAnsi="宋体" w:cs="宋体"/>
          <w:b/>
          <w:bCs/>
          <w:sz w:val="32"/>
          <w:szCs w:val="32"/>
        </w:rPr>
        <w:lastRenderedPageBreak/>
        <w:t>释义</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36"/>
        <w:gridCol w:w="1383"/>
        <w:gridCol w:w="4320"/>
      </w:tblGrid>
      <w:tr w:rsidR="00037019" w:rsidTr="003940A7">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释义项</w:t>
            </w:r>
          </w:p>
        </w:tc>
        <w:tc>
          <w:tcPr>
            <w:tcW w:w="138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3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释义内容</w:t>
            </w:r>
          </w:p>
        </w:tc>
      </w:tr>
      <w:tr w:rsidR="00037019" w:rsidTr="003940A7">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公司、本公司</w:t>
            </w:r>
          </w:p>
        </w:tc>
        <w:tc>
          <w:tcPr>
            <w:tcW w:w="138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3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037019" w:rsidTr="003940A7">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中国证监会、证监会</w:t>
            </w:r>
          </w:p>
        </w:tc>
        <w:tc>
          <w:tcPr>
            <w:tcW w:w="138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3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中国证券监督管理委员会</w:t>
            </w:r>
          </w:p>
        </w:tc>
      </w:tr>
      <w:tr w:rsidR="00037019" w:rsidTr="003940A7">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深交所</w:t>
            </w:r>
          </w:p>
        </w:tc>
        <w:tc>
          <w:tcPr>
            <w:tcW w:w="138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3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037019" w:rsidTr="003940A7">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控股股东、华孚控股</w:t>
            </w:r>
          </w:p>
        </w:tc>
        <w:tc>
          <w:tcPr>
            <w:tcW w:w="138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3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r>
      <w:tr w:rsidR="00037019" w:rsidTr="003940A7">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元、万元</w:t>
            </w:r>
          </w:p>
        </w:tc>
        <w:tc>
          <w:tcPr>
            <w:tcW w:w="138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3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人民币元、人民币万元</w:t>
            </w:r>
          </w:p>
        </w:tc>
      </w:tr>
    </w:tbl>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1" w:name="_Toc988890"/>
      <w:r>
        <w:rPr>
          <w:rFonts w:ascii="宋体" w:eastAsia="宋体" w:hAnsi="宋体" w:cs="宋体"/>
          <w:b/>
          <w:bCs/>
          <w:sz w:val="32"/>
          <w:szCs w:val="32"/>
        </w:rPr>
        <w:lastRenderedPageBreak/>
        <w:t>第二节 公司简介和主要财务指标</w:t>
      </w:r>
      <w:bookmarkEnd w:id="1"/>
    </w:p>
    <w:p w:rsidR="00037019" w:rsidRDefault="00BE788E">
      <w:pPr>
        <w:pStyle w:val="2"/>
        <w:spacing w:before="300" w:after="300" w:line="320" w:lineRule="exact"/>
        <w:rPr>
          <w:rFonts w:ascii="宋体" w:eastAsia="宋体" w:hAnsi="宋体" w:cs="宋体"/>
          <w:b/>
          <w:bCs/>
          <w:sz w:val="24"/>
          <w:szCs w:val="24"/>
        </w:rPr>
      </w:pPr>
      <w:bookmarkStart w:id="2" w:name="_Toc988891"/>
      <w:r>
        <w:rPr>
          <w:rFonts w:ascii="宋体" w:eastAsia="宋体" w:hAnsi="宋体" w:cs="宋体"/>
          <w:b/>
          <w:bCs/>
          <w:sz w:val="24"/>
          <w:szCs w:val="24"/>
        </w:rPr>
        <w:t>一、公司简介</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60"/>
        <w:gridCol w:w="2326"/>
        <w:gridCol w:w="2326"/>
        <w:gridCol w:w="2327"/>
      </w:tblGrid>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股票简称</w:t>
            </w:r>
          </w:p>
        </w:tc>
        <w:tc>
          <w:tcPr>
            <w:tcW w:w="232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华孚时尚</w:t>
            </w:r>
          </w:p>
        </w:tc>
        <w:tc>
          <w:tcPr>
            <w:tcW w:w="23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股票代码</w:t>
            </w:r>
          </w:p>
        </w:tc>
        <w:tc>
          <w:tcPr>
            <w:tcW w:w="23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002042</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变更前的股票简称（如有）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无</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股票上市证券交易所</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公司的中文名称</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公司的中文简称（如有）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华孚时尚</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公司的外文名称（如有）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HUAFU FASHION CO., LTD.</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公司的外文名称缩写（如有）</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HUAFU</w:t>
            </w:r>
          </w:p>
        </w:tc>
      </w:tr>
      <w:tr w:rsidR="00037019" w:rsidTr="00903029">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公司的法定代表人</w:t>
            </w:r>
          </w:p>
        </w:tc>
        <w:tc>
          <w:tcPr>
            <w:tcW w:w="697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孙伟挺</w:t>
            </w:r>
          </w:p>
        </w:tc>
      </w:tr>
    </w:tbl>
    <w:p w:rsidR="00037019" w:rsidRDefault="00BE788E">
      <w:pPr>
        <w:pStyle w:val="2"/>
        <w:spacing w:before="300" w:after="300" w:line="320" w:lineRule="exact"/>
        <w:rPr>
          <w:rFonts w:ascii="宋体" w:eastAsia="宋体" w:hAnsi="宋体" w:cs="宋体"/>
          <w:b/>
          <w:bCs/>
          <w:sz w:val="24"/>
          <w:szCs w:val="24"/>
        </w:rPr>
      </w:pPr>
      <w:bookmarkStart w:id="3" w:name="_Toc988892"/>
      <w:r>
        <w:rPr>
          <w:rFonts w:ascii="宋体" w:eastAsia="宋体" w:hAnsi="宋体" w:cs="宋体"/>
          <w:b/>
          <w:bCs/>
          <w:sz w:val="24"/>
          <w:szCs w:val="24"/>
        </w:rPr>
        <w:t>二、联系人和联系方式</w:t>
      </w:r>
      <w:bookmarkEnd w:id="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4340"/>
        <w:gridCol w:w="4340"/>
      </w:tblGrid>
      <w:tr w:rsidR="00037019" w:rsidTr="0090302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434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董事会秘书</w:t>
            </w:r>
          </w:p>
        </w:tc>
        <w:tc>
          <w:tcPr>
            <w:tcW w:w="434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证券事务代表</w:t>
            </w:r>
          </w:p>
        </w:tc>
      </w:tr>
      <w:tr w:rsidR="00037019" w:rsidTr="0090302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姓名</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张正</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孙献</w:t>
            </w:r>
            <w:proofErr w:type="gramEnd"/>
          </w:p>
        </w:tc>
      </w:tr>
      <w:tr w:rsidR="00037019" w:rsidTr="0090302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联系地址</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r>
      <w:tr w:rsidR="00037019" w:rsidTr="0090302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电话</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0755-83735593</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0755-83735433</w:t>
            </w:r>
          </w:p>
        </w:tc>
      </w:tr>
      <w:tr w:rsidR="00037019" w:rsidTr="0090302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传真</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0755-83735566</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0755-83735566</w:t>
            </w:r>
          </w:p>
        </w:tc>
      </w:tr>
      <w:tr w:rsidR="00037019" w:rsidTr="0090302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dongban@e-huafu.com</w:t>
            </w:r>
          </w:p>
        </w:tc>
        <w:tc>
          <w:tcPr>
            <w:tcW w:w="434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sunx@e-huafu.com</w:t>
            </w:r>
          </w:p>
        </w:tc>
      </w:tr>
    </w:tbl>
    <w:p w:rsidR="00037019" w:rsidRDefault="00BE788E">
      <w:pPr>
        <w:pStyle w:val="2"/>
        <w:spacing w:before="300" w:after="300" w:line="320" w:lineRule="exact"/>
        <w:rPr>
          <w:rFonts w:ascii="宋体" w:eastAsia="宋体" w:hAnsi="宋体" w:cs="宋体"/>
          <w:b/>
          <w:bCs/>
          <w:sz w:val="24"/>
          <w:szCs w:val="24"/>
        </w:rPr>
      </w:pPr>
      <w:bookmarkStart w:id="4" w:name="_Toc988893"/>
      <w:r>
        <w:rPr>
          <w:rFonts w:ascii="宋体" w:eastAsia="宋体" w:hAnsi="宋体" w:cs="宋体"/>
          <w:b/>
          <w:bCs/>
          <w:sz w:val="24"/>
          <w:szCs w:val="24"/>
        </w:rPr>
        <w:t>三、其他情况</w:t>
      </w:r>
      <w:bookmarkEnd w:id="4"/>
    </w:p>
    <w:p w:rsidR="00037019" w:rsidRDefault="00BE788E">
      <w:pPr>
        <w:pStyle w:val="3"/>
        <w:spacing w:line="280" w:lineRule="exact"/>
        <w:jc w:val="left"/>
        <w:rPr>
          <w:rFonts w:ascii="宋体" w:hAnsi="宋体" w:cs="宋体"/>
          <w:b/>
          <w:bCs/>
        </w:rPr>
      </w:pPr>
      <w:bookmarkStart w:id="5" w:name="_Toc988894"/>
      <w:r>
        <w:rPr>
          <w:rFonts w:ascii="宋体" w:hAnsi="宋体" w:cs="宋体"/>
          <w:b/>
          <w:bCs/>
        </w:rPr>
        <w:t>1、公司联系方式</w:t>
      </w:r>
      <w:bookmarkEnd w:id="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公司注册地址、公司办公地址及其邮政编码、公司网址、电子信箱等在报告期是否变化</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公司注册地址、公司办公地址及其邮政编码、公司网址、电子信箱等在报告期无变化，具体可参见2023年年报。</w:t>
      </w:r>
    </w:p>
    <w:p w:rsidR="00037019" w:rsidRDefault="00BE788E">
      <w:pPr>
        <w:pStyle w:val="3"/>
        <w:spacing w:line="280" w:lineRule="exact"/>
        <w:jc w:val="left"/>
        <w:rPr>
          <w:rFonts w:ascii="宋体" w:hAnsi="宋体" w:cs="宋体"/>
          <w:b/>
          <w:bCs/>
        </w:rPr>
      </w:pPr>
      <w:bookmarkStart w:id="6" w:name="_Toc988895"/>
      <w:r>
        <w:rPr>
          <w:rFonts w:ascii="宋体" w:hAnsi="宋体" w:cs="宋体"/>
          <w:b/>
          <w:bCs/>
        </w:rPr>
        <w:t>2、信息披露及备置地点</w:t>
      </w:r>
      <w:bookmarkEnd w:id="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信息披露及备置地点在报告期是否变化</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公司披露半年度报告的证券交易所网站和媒体名称及网址，公司半年度报告备置地在报告期无变化，具体可参见2023年年报。</w:t>
      </w:r>
    </w:p>
    <w:p w:rsidR="00037019" w:rsidRDefault="00BE788E">
      <w:pPr>
        <w:pStyle w:val="3"/>
        <w:spacing w:line="280" w:lineRule="exact"/>
        <w:jc w:val="left"/>
        <w:rPr>
          <w:rFonts w:ascii="宋体" w:hAnsi="宋体" w:cs="宋体"/>
          <w:b/>
          <w:bCs/>
        </w:rPr>
      </w:pPr>
      <w:bookmarkStart w:id="7" w:name="_Toc988896"/>
      <w:r>
        <w:rPr>
          <w:rFonts w:ascii="宋体" w:hAnsi="宋体" w:cs="宋体"/>
          <w:b/>
          <w:bCs/>
        </w:rPr>
        <w:t>3、其他有关资料</w:t>
      </w:r>
      <w:bookmarkEnd w:id="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其他有关资料在报告期是否变更情况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lastRenderedPageBreak/>
        <w:t>四、主要会计数据和财务指标</w:t>
      </w:r>
      <w:bookmarkEnd w:id="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27"/>
        <w:gridCol w:w="2001"/>
        <w:gridCol w:w="2001"/>
        <w:gridCol w:w="2410"/>
      </w:tblGrid>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-15.87%</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-44.96%</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-8,985,742.66</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64,666,468.54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-113.90%</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1,093,172,214.63</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-28.30%</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基本每股收益（元/股）</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-40.00%</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稀释每股收益（元/股）</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-40.00%</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0.73%</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-0.56%</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20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总资产（元）</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17,577,527,193.62</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w:t>
            </w:r>
          </w:p>
        </w:tc>
      </w:tr>
      <w:tr w:rsidR="00037019" w:rsidTr="00940CBE">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归属于上市公司股东的净资产（元）</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6,034,345,262.35</w:t>
            </w:r>
          </w:p>
        </w:tc>
        <w:tc>
          <w:tcPr>
            <w:tcW w:w="20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w:t>
            </w:r>
          </w:p>
        </w:tc>
      </w:tr>
    </w:tbl>
    <w:p w:rsidR="00037019" w:rsidRDefault="00BE788E">
      <w:pPr>
        <w:pStyle w:val="2"/>
        <w:spacing w:before="300" w:after="300" w:line="320" w:lineRule="exact"/>
        <w:rPr>
          <w:rFonts w:ascii="宋体" w:eastAsia="宋体" w:hAnsi="宋体" w:cs="宋体"/>
          <w:b/>
          <w:bCs/>
          <w:sz w:val="24"/>
          <w:szCs w:val="24"/>
        </w:rPr>
      </w:pPr>
      <w:bookmarkStart w:id="9" w:name="_Toc988898"/>
      <w:r>
        <w:rPr>
          <w:rFonts w:ascii="宋体" w:eastAsia="宋体" w:hAnsi="宋体" w:cs="宋体"/>
          <w:b/>
          <w:bCs/>
          <w:sz w:val="24"/>
          <w:szCs w:val="24"/>
        </w:rPr>
        <w:t>五、境内外会计准则下会计数据差异</w:t>
      </w:r>
      <w:bookmarkEnd w:id="9"/>
    </w:p>
    <w:p w:rsidR="00037019" w:rsidRDefault="00BE788E">
      <w:pPr>
        <w:pStyle w:val="3"/>
        <w:spacing w:line="280" w:lineRule="exact"/>
        <w:jc w:val="left"/>
        <w:rPr>
          <w:rFonts w:ascii="宋体" w:hAnsi="宋体" w:cs="宋体"/>
          <w:b/>
          <w:bCs/>
        </w:rPr>
      </w:pPr>
      <w:bookmarkStart w:id="10" w:name="_Toc988899"/>
      <w:r>
        <w:rPr>
          <w:rFonts w:ascii="宋体" w:hAnsi="宋体" w:cs="宋体"/>
          <w:b/>
          <w:bCs/>
        </w:rPr>
        <w:t>1、同时按照国际会计准则与按照中国会计准则披露的财务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1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公司报告期不存在按照国际会计准则与按照中国会计准则披露的财务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rsidR="00037019" w:rsidRDefault="00BE788E">
      <w:pPr>
        <w:pStyle w:val="3"/>
        <w:spacing w:line="280" w:lineRule="exact"/>
        <w:jc w:val="left"/>
        <w:rPr>
          <w:rFonts w:ascii="宋体" w:hAnsi="宋体" w:cs="宋体"/>
          <w:b/>
          <w:bCs/>
        </w:rPr>
      </w:pPr>
      <w:bookmarkStart w:id="11" w:name="_Toc988900"/>
      <w:r>
        <w:rPr>
          <w:rFonts w:ascii="宋体" w:hAnsi="宋体" w:cs="宋体"/>
          <w:b/>
          <w:bCs/>
        </w:rPr>
        <w:t>2、同时按照境外会计准则与按照中国会计准则披露的财务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1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公司报告期不存在按照境外会计准则与按照中国会计准则披露的财务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rsidR="00037019" w:rsidRDefault="00BE788E">
      <w:pPr>
        <w:pStyle w:val="2"/>
        <w:spacing w:before="300" w:after="300" w:line="320" w:lineRule="exact"/>
        <w:rPr>
          <w:rFonts w:ascii="宋体" w:eastAsia="宋体" w:hAnsi="宋体" w:cs="宋体"/>
          <w:b/>
          <w:bCs/>
          <w:sz w:val="24"/>
          <w:szCs w:val="24"/>
        </w:rPr>
      </w:pPr>
      <w:bookmarkStart w:id="12" w:name="_Toc988901"/>
      <w:r>
        <w:rPr>
          <w:rFonts w:ascii="宋体" w:eastAsia="宋体" w:hAnsi="宋体" w:cs="宋体"/>
          <w:b/>
          <w:bCs/>
          <w:sz w:val="24"/>
          <w:szCs w:val="24"/>
        </w:rPr>
        <w:t>六、非经常性损益项目及金额</w:t>
      </w:r>
      <w:bookmarkEnd w:id="1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54"/>
        <w:gridCol w:w="1701"/>
        <w:gridCol w:w="884"/>
      </w:tblGrid>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金额</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说明</w:t>
            </w: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非流动性资产处置损益（包括已计提资产减值准备的冲销部分）</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38,234,349.53</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26,220,063.42</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3,860,116.40</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-1,092,940.65</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减：所得税影响额</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13,960,571.09</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1,754,058.27</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705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53,790,363.83</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公司不存在其他符合非经常性损益定义的损益项目的具体情况。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13" w:name="_Toc988902"/>
      <w:r>
        <w:rPr>
          <w:rFonts w:ascii="宋体" w:eastAsia="宋体" w:hAnsi="宋体" w:cs="宋体"/>
          <w:b/>
          <w:bCs/>
          <w:sz w:val="32"/>
          <w:szCs w:val="32"/>
        </w:rPr>
        <w:lastRenderedPageBreak/>
        <w:t>第三节 管理</w:t>
      </w:r>
      <w:proofErr w:type="gramStart"/>
      <w:r>
        <w:rPr>
          <w:rFonts w:ascii="宋体" w:eastAsia="宋体" w:hAnsi="宋体" w:cs="宋体"/>
          <w:b/>
          <w:bCs/>
          <w:sz w:val="32"/>
          <w:szCs w:val="32"/>
        </w:rPr>
        <w:t>层讨论</w:t>
      </w:r>
      <w:proofErr w:type="gramEnd"/>
      <w:r>
        <w:rPr>
          <w:rFonts w:ascii="宋体" w:eastAsia="宋体" w:hAnsi="宋体" w:cs="宋体"/>
          <w:b/>
          <w:bCs/>
          <w:sz w:val="32"/>
          <w:szCs w:val="32"/>
        </w:rPr>
        <w:t>与分析</w:t>
      </w:r>
      <w:bookmarkEnd w:id="13"/>
    </w:p>
    <w:p w:rsidR="00037019" w:rsidRDefault="00BE788E">
      <w:pPr>
        <w:pStyle w:val="2"/>
        <w:spacing w:before="300" w:after="300" w:line="320" w:lineRule="exact"/>
        <w:rPr>
          <w:rFonts w:ascii="宋体" w:eastAsia="宋体" w:hAnsi="宋体" w:cs="宋体"/>
          <w:b/>
          <w:bCs/>
          <w:sz w:val="24"/>
          <w:szCs w:val="24"/>
        </w:rPr>
      </w:pPr>
      <w:bookmarkStart w:id="14" w:name="_Toc988903"/>
      <w:r>
        <w:rPr>
          <w:rFonts w:ascii="宋体" w:eastAsia="宋体" w:hAnsi="宋体" w:cs="宋体"/>
          <w:b/>
          <w:bCs/>
          <w:sz w:val="24"/>
          <w:szCs w:val="24"/>
        </w:rPr>
        <w:t>一、报告期内公司从事的主要业务</w:t>
      </w:r>
      <w:bookmarkEnd w:id="14"/>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1、公司的主要业务</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w:t>
      </w:r>
      <w:proofErr w:type="gramStart"/>
      <w:r w:rsidRPr="00940CBE">
        <w:rPr>
          <w:rFonts w:asciiTheme="minorEastAsia" w:eastAsiaTheme="minorEastAsia" w:hAnsiTheme="minorEastAsia" w:cs="Times New Roman" w:hint="eastAsia"/>
          <w:sz w:val="18"/>
          <w:szCs w:val="18"/>
        </w:rPr>
        <w:t>纺服供应</w:t>
      </w:r>
      <w:proofErr w:type="gramEnd"/>
      <w:r w:rsidRPr="00940CBE">
        <w:rPr>
          <w:rFonts w:asciiTheme="minorEastAsia" w:eastAsiaTheme="minorEastAsia" w:hAnsiTheme="minorEastAsia" w:cs="Times New Roman" w:hint="eastAsia"/>
          <w:sz w:val="18"/>
          <w:szCs w:val="18"/>
        </w:rPr>
        <w:t>链，实现前后端产业贯通，致力成为全球纺织服装产业时尚营运商。公司积极</w:t>
      </w:r>
      <w:proofErr w:type="gramStart"/>
      <w:r w:rsidRPr="00940CBE">
        <w:rPr>
          <w:rFonts w:asciiTheme="minorEastAsia" w:eastAsiaTheme="minorEastAsia" w:hAnsiTheme="minorEastAsia" w:cs="Times New Roman" w:hint="eastAsia"/>
          <w:sz w:val="18"/>
          <w:szCs w:val="18"/>
        </w:rPr>
        <w:t>推进数智化</w:t>
      </w:r>
      <w:proofErr w:type="gramEnd"/>
      <w:r w:rsidRPr="00940CBE">
        <w:rPr>
          <w:rFonts w:asciiTheme="minorEastAsia" w:eastAsiaTheme="minorEastAsia" w:hAnsiTheme="minorEastAsia" w:cs="Times New Roman" w:hint="eastAsia"/>
          <w:sz w:val="18"/>
          <w:szCs w:val="18"/>
        </w:rPr>
        <w:t>升级，打造</w:t>
      </w:r>
      <w:proofErr w:type="gramStart"/>
      <w:r w:rsidRPr="00940CBE">
        <w:rPr>
          <w:rFonts w:asciiTheme="minorEastAsia" w:eastAsiaTheme="minorEastAsia" w:hAnsiTheme="minorEastAsia" w:cs="Times New Roman" w:hint="eastAsia"/>
          <w:sz w:val="18"/>
          <w:szCs w:val="18"/>
        </w:rPr>
        <w:t>上虞智算推理</w:t>
      </w:r>
      <w:proofErr w:type="gramEnd"/>
      <w:r w:rsidRPr="00940CBE">
        <w:rPr>
          <w:rFonts w:asciiTheme="minorEastAsia" w:eastAsiaTheme="minorEastAsia" w:hAnsiTheme="minorEastAsia" w:cs="Times New Roman" w:hint="eastAsia"/>
          <w:sz w:val="18"/>
          <w:szCs w:val="18"/>
        </w:rPr>
        <w:t>项目，建设新疆“超大集群”</w:t>
      </w:r>
      <w:proofErr w:type="gramStart"/>
      <w:r w:rsidRPr="00940CBE">
        <w:rPr>
          <w:rFonts w:asciiTheme="minorEastAsia" w:eastAsiaTheme="minorEastAsia" w:hAnsiTheme="minorEastAsia" w:cs="Times New Roman" w:hint="eastAsia"/>
          <w:sz w:val="18"/>
          <w:szCs w:val="18"/>
        </w:rPr>
        <w:t>规模智算训练</w:t>
      </w:r>
      <w:proofErr w:type="gramEnd"/>
      <w:r w:rsidRPr="00940CBE">
        <w:rPr>
          <w:rFonts w:asciiTheme="minorEastAsia" w:eastAsiaTheme="minorEastAsia" w:hAnsiTheme="minorEastAsia" w:cs="Times New Roman" w:hint="eastAsia"/>
          <w:sz w:val="18"/>
          <w:szCs w:val="18"/>
        </w:rPr>
        <w:t>项目，关注人工智能投资与应用，发展新业。</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2、经营模式</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主营纱线方面，目前纱线产能206万锭，年产29万吨新型纱线，生产基地覆盖中国东部和新疆、越南等地。公司通过产业链协同，统筹市场及订单信息，制定“点（产地）对点（客户）”的供应链计划，分区域、分工厂、分生产线进行规模化定制，公司坚持以客户为本，品质至上，以趋势为方向，通过产品创新提升产品品质及附加值，赢得了客户的信赖。</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proofErr w:type="gramStart"/>
      <w:r w:rsidRPr="00940CBE">
        <w:rPr>
          <w:rFonts w:asciiTheme="minorEastAsia" w:eastAsiaTheme="minorEastAsia" w:hAnsiTheme="minorEastAsia" w:cs="Times New Roman" w:hint="eastAsia"/>
          <w:sz w:val="18"/>
          <w:szCs w:val="18"/>
        </w:rPr>
        <w:t>前端网链</w:t>
      </w:r>
      <w:proofErr w:type="gramEnd"/>
      <w:r w:rsidRPr="00940CBE">
        <w:rPr>
          <w:rFonts w:asciiTheme="minorEastAsia" w:eastAsiaTheme="minorEastAsia" w:hAnsiTheme="minorEastAsia" w:cs="Times New Roman" w:hint="eastAsia"/>
          <w:sz w:val="18"/>
          <w:szCs w:val="18"/>
        </w:rPr>
        <w:t>以“棉花加工（含农业、物流）、棉花贸易和棉花金融投资”作为核心业务；后端网</w:t>
      </w:r>
      <w:proofErr w:type="gramStart"/>
      <w:r w:rsidRPr="00940CBE">
        <w:rPr>
          <w:rFonts w:asciiTheme="minorEastAsia" w:eastAsiaTheme="minorEastAsia" w:hAnsiTheme="minorEastAsia" w:cs="Times New Roman" w:hint="eastAsia"/>
          <w:sz w:val="18"/>
          <w:szCs w:val="18"/>
        </w:rPr>
        <w:t>链目前</w:t>
      </w:r>
      <w:proofErr w:type="gramEnd"/>
      <w:r w:rsidRPr="00940CBE">
        <w:rPr>
          <w:rFonts w:asciiTheme="minorEastAsia" w:eastAsiaTheme="minorEastAsia" w:hAnsiTheme="minorEastAsia" w:cs="Times New Roman" w:hint="eastAsia"/>
          <w:sz w:val="18"/>
          <w:szCs w:val="18"/>
        </w:rPr>
        <w:t>已经设立阿大数智互联袜业平台，包括自主品牌经营、品牌授权经营、贴</w:t>
      </w:r>
      <w:proofErr w:type="gramStart"/>
      <w:r w:rsidRPr="00940CBE">
        <w:rPr>
          <w:rFonts w:asciiTheme="minorEastAsia" w:eastAsiaTheme="minorEastAsia" w:hAnsiTheme="minorEastAsia" w:cs="Times New Roman" w:hint="eastAsia"/>
          <w:sz w:val="18"/>
          <w:szCs w:val="18"/>
        </w:rPr>
        <w:t>牌业务</w:t>
      </w:r>
      <w:proofErr w:type="gramEnd"/>
      <w:r w:rsidRPr="00940CBE">
        <w:rPr>
          <w:rFonts w:asciiTheme="minorEastAsia" w:eastAsiaTheme="minorEastAsia" w:hAnsiTheme="minorEastAsia" w:cs="Times New Roman" w:hint="eastAsia"/>
          <w:sz w:val="18"/>
          <w:szCs w:val="18"/>
        </w:rPr>
        <w:t>经营、纱线经营等业务模式。</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华</w:t>
      </w:r>
      <w:proofErr w:type="gramStart"/>
      <w:r w:rsidRPr="00940CBE">
        <w:rPr>
          <w:rFonts w:asciiTheme="minorEastAsia" w:eastAsiaTheme="minorEastAsia" w:hAnsiTheme="minorEastAsia" w:cs="Times New Roman" w:hint="eastAsia"/>
          <w:sz w:val="18"/>
          <w:szCs w:val="18"/>
        </w:rPr>
        <w:t>孚科技</w:t>
      </w:r>
      <w:proofErr w:type="gramEnd"/>
      <w:r w:rsidRPr="00940CBE">
        <w:rPr>
          <w:rFonts w:asciiTheme="minorEastAsia" w:eastAsiaTheme="minorEastAsia" w:hAnsiTheme="minorEastAsia" w:cs="Times New Roman" w:hint="eastAsia"/>
          <w:sz w:val="18"/>
          <w:szCs w:val="18"/>
        </w:rPr>
        <w:t>依托公司建设的</w:t>
      </w:r>
      <w:proofErr w:type="gramStart"/>
      <w:r w:rsidRPr="00940CBE">
        <w:rPr>
          <w:rFonts w:asciiTheme="minorEastAsia" w:eastAsiaTheme="minorEastAsia" w:hAnsiTheme="minorEastAsia" w:cs="Times New Roman" w:hint="eastAsia"/>
          <w:sz w:val="18"/>
          <w:szCs w:val="18"/>
        </w:rPr>
        <w:t>智能算力平台提供算力租赁</w:t>
      </w:r>
      <w:proofErr w:type="gramEnd"/>
      <w:r w:rsidRPr="00940CBE">
        <w:rPr>
          <w:rFonts w:asciiTheme="minorEastAsia" w:eastAsiaTheme="minorEastAsia" w:hAnsiTheme="minorEastAsia" w:cs="Times New Roman" w:hint="eastAsia"/>
          <w:sz w:val="18"/>
          <w:szCs w:val="18"/>
        </w:rPr>
        <w:t>服务及运营增值服务。</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3、主营业务分析</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报告期内，公司实现营业收入65.23亿元，同比下降15.87%，</w:t>
      </w:r>
      <w:proofErr w:type="gramStart"/>
      <w:r w:rsidRPr="00940CBE">
        <w:rPr>
          <w:rFonts w:asciiTheme="minorEastAsia" w:eastAsiaTheme="minorEastAsia" w:hAnsiTheme="minorEastAsia" w:cs="Times New Roman" w:hint="eastAsia"/>
          <w:sz w:val="18"/>
          <w:szCs w:val="18"/>
        </w:rPr>
        <w:t>归母净利润</w:t>
      </w:r>
      <w:proofErr w:type="gramEnd"/>
      <w:r w:rsidRPr="00940CBE">
        <w:rPr>
          <w:rFonts w:asciiTheme="minorEastAsia" w:eastAsiaTheme="minorEastAsia" w:hAnsiTheme="minorEastAsia" w:cs="Times New Roman" w:hint="eastAsia"/>
          <w:sz w:val="18"/>
          <w:szCs w:val="18"/>
        </w:rPr>
        <w:t xml:space="preserve">4480.46万元，同比下降44.96%。2024年以来，国内仍处于经济恢复和转型升级关键期，有效需求不足、企业经营压力加大等风险挑战仍然存在，国际环境依然严峻复杂，产业安全问题持续影响企业经营，受原料供应端冲击和终端有效需求不足的双向挤压，在整个纺织产业链体系中，棉纺织行业恢复力度偏弱，“金三银四”旺季落空，旺季不旺、淡季延续局面长时间维持，行业承受压力明显。 </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 xml:space="preserve">公司将积极实施双循环战略，实现海外、国内市场均衡发展，发挥公司创新快反、优良服务、资源整合的优势，深化区域市场开发、深耕细分市场，挖掘价值客户，持续巩固和扩大国内市场占有率。围绕功能科技、时尚快反、可持续发展、高质量发展四条主线，多品类拓展市场。 </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积极推进数字化工厂建设，推行</w:t>
      </w:r>
      <w:proofErr w:type="gramStart"/>
      <w:r w:rsidRPr="00940CBE">
        <w:rPr>
          <w:rFonts w:asciiTheme="minorEastAsia" w:eastAsiaTheme="minorEastAsia" w:hAnsiTheme="minorEastAsia" w:cs="Times New Roman" w:hint="eastAsia"/>
          <w:sz w:val="18"/>
          <w:szCs w:val="18"/>
        </w:rPr>
        <w:t>生产数智化</w:t>
      </w:r>
      <w:proofErr w:type="gramEnd"/>
      <w:r w:rsidRPr="00940CBE">
        <w:rPr>
          <w:rFonts w:asciiTheme="minorEastAsia" w:eastAsiaTheme="minorEastAsia" w:hAnsiTheme="minorEastAsia" w:cs="Times New Roman" w:hint="eastAsia"/>
          <w:sz w:val="18"/>
          <w:szCs w:val="18"/>
        </w:rPr>
        <w:t>管理，公司数字化架构100%搭建完成，新要素降本增效效果逐步体现。</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发展以袜业、布衣为切入点的后端网链，产业互联的协同效应逐渐显现。</w:t>
      </w:r>
    </w:p>
    <w:p w:rsidR="00BE788E" w:rsidRPr="00940CBE" w:rsidRDefault="00BE788E" w:rsidP="00940CBE">
      <w:pPr>
        <w:pStyle w:val="a3"/>
        <w:spacing w:before="0" w:beforeAutospacing="0" w:after="0" w:afterAutospacing="0"/>
        <w:ind w:firstLine="360"/>
        <w:jc w:val="both"/>
        <w:divId w:val="855967704"/>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投资建设上虞AIGC</w:t>
      </w:r>
      <w:proofErr w:type="gramStart"/>
      <w:r w:rsidRPr="00940CBE">
        <w:rPr>
          <w:rFonts w:asciiTheme="minorEastAsia" w:eastAsiaTheme="minorEastAsia" w:hAnsiTheme="minorEastAsia" w:cs="Times New Roman" w:hint="eastAsia"/>
          <w:sz w:val="18"/>
          <w:szCs w:val="18"/>
        </w:rPr>
        <w:t>智算中心</w:t>
      </w:r>
      <w:proofErr w:type="gramEnd"/>
      <w:r w:rsidRPr="00940CBE">
        <w:rPr>
          <w:rFonts w:asciiTheme="minorEastAsia" w:eastAsiaTheme="minorEastAsia" w:hAnsiTheme="minorEastAsia" w:cs="Times New Roman" w:hint="eastAsia"/>
          <w:sz w:val="18"/>
          <w:szCs w:val="18"/>
        </w:rPr>
        <w:t>项目及新疆阿克苏城市</w:t>
      </w:r>
      <w:proofErr w:type="gramStart"/>
      <w:r w:rsidRPr="00940CBE">
        <w:rPr>
          <w:rFonts w:asciiTheme="minorEastAsia" w:eastAsiaTheme="minorEastAsia" w:hAnsiTheme="minorEastAsia" w:cs="Times New Roman" w:hint="eastAsia"/>
          <w:sz w:val="18"/>
          <w:szCs w:val="18"/>
        </w:rPr>
        <w:t>公共算力平台</w:t>
      </w:r>
      <w:proofErr w:type="gramEnd"/>
      <w:r w:rsidRPr="00940CBE">
        <w:rPr>
          <w:rFonts w:asciiTheme="minorEastAsia" w:eastAsiaTheme="minorEastAsia" w:hAnsiTheme="minorEastAsia" w:cs="Times New Roman" w:hint="eastAsia"/>
          <w:sz w:val="18"/>
          <w:szCs w:val="18"/>
        </w:rPr>
        <w:t>项目，满足企业、科研机构以及政府对</w:t>
      </w:r>
      <w:proofErr w:type="gramStart"/>
      <w:r w:rsidRPr="00940CBE">
        <w:rPr>
          <w:rFonts w:asciiTheme="minorEastAsia" w:eastAsiaTheme="minorEastAsia" w:hAnsiTheme="minorEastAsia" w:cs="Times New Roman" w:hint="eastAsia"/>
          <w:sz w:val="18"/>
          <w:szCs w:val="18"/>
        </w:rPr>
        <w:t>智能算力的</w:t>
      </w:r>
      <w:proofErr w:type="gramEnd"/>
      <w:r w:rsidRPr="00940CBE">
        <w:rPr>
          <w:rFonts w:asciiTheme="minorEastAsia" w:eastAsiaTheme="minorEastAsia" w:hAnsiTheme="minorEastAsia" w:cs="Times New Roman" w:hint="eastAsia"/>
          <w:sz w:val="18"/>
          <w:szCs w:val="18"/>
        </w:rPr>
        <w:t>需求，培育公司发展动能。</w:t>
      </w:r>
    </w:p>
    <w:p w:rsidR="00037019" w:rsidRPr="00940CBE" w:rsidRDefault="00BE788E" w:rsidP="00940CBE">
      <w:pPr>
        <w:rPr>
          <w:rFonts w:asciiTheme="minorEastAsia" w:hAnsiTheme="minorEastAsia" w:cs="宋体"/>
          <w:sz w:val="18"/>
          <w:szCs w:val="18"/>
        </w:rPr>
      </w:pPr>
      <w:r w:rsidRPr="00940CBE">
        <w:rPr>
          <w:rFonts w:asciiTheme="minorEastAsia" w:hAnsiTheme="minorEastAsia" w:cs="宋体"/>
          <w:sz w:val="18"/>
          <w:szCs w:val="18"/>
        </w:rPr>
        <w:t>公司需遵守《深圳证券交易所上市公司自律监管指引第3号——行业信息披露》中的“纺织服装相关业务”的披露要求</w:t>
      </w:r>
    </w:p>
    <w:p w:rsidR="00BE788E" w:rsidRPr="00940CBE" w:rsidRDefault="00BE788E" w:rsidP="00940CBE">
      <w:pPr>
        <w:pStyle w:val="a3"/>
        <w:spacing w:before="0" w:beforeAutospacing="0" w:after="0" w:afterAutospacing="0"/>
        <w:ind w:firstLine="420"/>
        <w:jc w:val="both"/>
        <w:divId w:val="1786802979"/>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随着国内外市场需求逐步恢复，在国家宏观政策显效发力支撑下，</w:t>
      </w:r>
      <w:r w:rsidRPr="00940CBE">
        <w:rPr>
          <w:rFonts w:asciiTheme="minorEastAsia" w:eastAsiaTheme="minorEastAsia" w:hAnsiTheme="minorEastAsia" w:cs="Times New Roman"/>
          <w:sz w:val="18"/>
          <w:szCs w:val="18"/>
        </w:rPr>
        <w:t>1~6</w:t>
      </w:r>
      <w:r w:rsidRPr="00940CBE">
        <w:rPr>
          <w:rFonts w:asciiTheme="minorEastAsia" w:eastAsiaTheme="minorEastAsia" w:hAnsiTheme="minorEastAsia" w:cs="Times New Roman" w:hint="eastAsia"/>
          <w:sz w:val="18"/>
          <w:szCs w:val="18"/>
        </w:rPr>
        <w:t>月纺织行业经济运行态势总体平稳，据国家统计局数据，上半年，规模以上棉纺纱营业收入同比下降</w:t>
      </w:r>
      <w:r w:rsidRPr="00940CBE">
        <w:rPr>
          <w:rFonts w:asciiTheme="minorEastAsia" w:eastAsiaTheme="minorEastAsia" w:hAnsiTheme="minorEastAsia" w:cs="Times New Roman"/>
          <w:sz w:val="18"/>
          <w:szCs w:val="18"/>
        </w:rPr>
        <w:t>3.26%</w:t>
      </w:r>
      <w:r w:rsidRPr="00940CBE">
        <w:rPr>
          <w:rFonts w:asciiTheme="minorEastAsia" w:eastAsiaTheme="minorEastAsia" w:hAnsiTheme="minorEastAsia" w:cs="Times New Roman" w:hint="eastAsia"/>
          <w:sz w:val="18"/>
          <w:szCs w:val="18"/>
        </w:rPr>
        <w:t>，</w:t>
      </w:r>
      <w:proofErr w:type="gramStart"/>
      <w:r w:rsidRPr="00940CBE">
        <w:rPr>
          <w:rFonts w:asciiTheme="minorEastAsia" w:eastAsiaTheme="minorEastAsia" w:hAnsiTheme="minorEastAsia" w:cs="Times New Roman" w:hint="eastAsia"/>
          <w:sz w:val="18"/>
          <w:szCs w:val="18"/>
        </w:rPr>
        <w:t>规</w:t>
      </w:r>
      <w:proofErr w:type="gramEnd"/>
      <w:r w:rsidRPr="00940CBE">
        <w:rPr>
          <w:rFonts w:asciiTheme="minorEastAsia" w:eastAsiaTheme="minorEastAsia" w:hAnsiTheme="minorEastAsia" w:cs="Times New Roman" w:hint="eastAsia"/>
          <w:sz w:val="18"/>
          <w:szCs w:val="18"/>
        </w:rPr>
        <w:t>上棉织造营业收入同比增加</w:t>
      </w:r>
      <w:r w:rsidRPr="00940CBE">
        <w:rPr>
          <w:rFonts w:asciiTheme="minorEastAsia" w:eastAsiaTheme="minorEastAsia" w:hAnsiTheme="minorEastAsia" w:cs="Times New Roman"/>
          <w:sz w:val="18"/>
          <w:szCs w:val="18"/>
        </w:rPr>
        <w:t>7.14%</w:t>
      </w:r>
      <w:r w:rsidRPr="00940CBE">
        <w:rPr>
          <w:rFonts w:asciiTheme="minorEastAsia" w:eastAsiaTheme="minorEastAsia" w:hAnsiTheme="minorEastAsia" w:cs="Times New Roman" w:hint="eastAsia"/>
          <w:sz w:val="18"/>
          <w:szCs w:val="18"/>
        </w:rPr>
        <w:t>。上半年，规模以上棉纺纱利润同比下降</w:t>
      </w:r>
      <w:r w:rsidRPr="00940CBE">
        <w:rPr>
          <w:rFonts w:asciiTheme="minorEastAsia" w:eastAsiaTheme="minorEastAsia" w:hAnsiTheme="minorEastAsia" w:cs="Times New Roman"/>
          <w:sz w:val="18"/>
          <w:szCs w:val="18"/>
        </w:rPr>
        <w:t>13.00%</w:t>
      </w:r>
      <w:r w:rsidRPr="00940CBE">
        <w:rPr>
          <w:rFonts w:asciiTheme="minorEastAsia" w:eastAsiaTheme="minorEastAsia" w:hAnsiTheme="minorEastAsia" w:cs="Times New Roman" w:hint="eastAsia"/>
          <w:sz w:val="18"/>
          <w:szCs w:val="18"/>
        </w:rPr>
        <w:t>，棉织</w:t>
      </w:r>
      <w:proofErr w:type="gramStart"/>
      <w:r w:rsidRPr="00940CBE">
        <w:rPr>
          <w:rFonts w:asciiTheme="minorEastAsia" w:eastAsiaTheme="minorEastAsia" w:hAnsiTheme="minorEastAsia" w:cs="Times New Roman" w:hint="eastAsia"/>
          <w:sz w:val="18"/>
          <w:szCs w:val="18"/>
        </w:rPr>
        <w:t>造利润</w:t>
      </w:r>
      <w:proofErr w:type="gramEnd"/>
      <w:r w:rsidRPr="00940CBE">
        <w:rPr>
          <w:rFonts w:asciiTheme="minorEastAsia" w:eastAsiaTheme="minorEastAsia" w:hAnsiTheme="minorEastAsia" w:cs="Times New Roman" w:hint="eastAsia"/>
          <w:sz w:val="18"/>
          <w:szCs w:val="18"/>
        </w:rPr>
        <w:t>同比增长</w:t>
      </w:r>
      <w:r w:rsidRPr="00940CBE">
        <w:rPr>
          <w:rFonts w:asciiTheme="minorEastAsia" w:eastAsiaTheme="minorEastAsia" w:hAnsiTheme="minorEastAsia" w:cs="Times New Roman"/>
          <w:sz w:val="18"/>
          <w:szCs w:val="18"/>
        </w:rPr>
        <w:t>4.83%</w:t>
      </w:r>
      <w:r w:rsidRPr="00940CBE">
        <w:rPr>
          <w:rFonts w:asciiTheme="minorEastAsia" w:eastAsiaTheme="minorEastAsia" w:hAnsiTheme="minorEastAsia" w:cs="Times New Roman" w:hint="eastAsia"/>
          <w:sz w:val="18"/>
          <w:szCs w:val="18"/>
        </w:rPr>
        <w:t>，棉纺纱和棉织</w:t>
      </w:r>
      <w:proofErr w:type="gramStart"/>
      <w:r w:rsidRPr="00940CBE">
        <w:rPr>
          <w:rFonts w:asciiTheme="minorEastAsia" w:eastAsiaTheme="minorEastAsia" w:hAnsiTheme="minorEastAsia" w:cs="Times New Roman" w:hint="eastAsia"/>
          <w:sz w:val="18"/>
          <w:szCs w:val="18"/>
        </w:rPr>
        <w:t>造利润</w:t>
      </w:r>
      <w:proofErr w:type="gramEnd"/>
      <w:r w:rsidRPr="00940CBE">
        <w:rPr>
          <w:rFonts w:asciiTheme="minorEastAsia" w:eastAsiaTheme="minorEastAsia" w:hAnsiTheme="minorEastAsia" w:cs="Times New Roman" w:hint="eastAsia"/>
          <w:sz w:val="18"/>
          <w:szCs w:val="18"/>
        </w:rPr>
        <w:t>同比增速持续分化。</w:t>
      </w:r>
    </w:p>
    <w:p w:rsidR="00BE788E" w:rsidRPr="00940CBE" w:rsidRDefault="00BE788E" w:rsidP="00940CBE">
      <w:pPr>
        <w:pStyle w:val="a3"/>
        <w:spacing w:before="0" w:beforeAutospacing="0" w:after="0" w:afterAutospacing="0"/>
        <w:ind w:firstLine="420"/>
        <w:jc w:val="both"/>
        <w:divId w:val="1786802979"/>
        <w:rPr>
          <w:rFonts w:asciiTheme="minorEastAsia" w:eastAsiaTheme="minorEastAsia" w:hAnsiTheme="minorEastAsia" w:cs="Times New Roman"/>
        </w:rPr>
      </w:pPr>
      <w:r w:rsidRPr="00940CBE">
        <w:rPr>
          <w:rFonts w:asciiTheme="minorEastAsia" w:eastAsiaTheme="minorEastAsia" w:hAnsiTheme="minorEastAsia" w:cs="Times New Roman" w:hint="eastAsia"/>
          <w:sz w:val="18"/>
          <w:szCs w:val="18"/>
        </w:rPr>
        <w:t>根据海关总署统计快讯，今年上半年，上半年纺织品服装累计出口</w:t>
      </w:r>
      <w:r w:rsidRPr="00940CBE">
        <w:rPr>
          <w:rFonts w:asciiTheme="minorEastAsia" w:eastAsiaTheme="minorEastAsia" w:hAnsiTheme="minorEastAsia" w:cs="Times New Roman"/>
          <w:sz w:val="18"/>
          <w:szCs w:val="18"/>
        </w:rPr>
        <w:t>1431.8</w:t>
      </w:r>
      <w:r w:rsidRPr="00940CBE">
        <w:rPr>
          <w:rFonts w:asciiTheme="minorEastAsia" w:eastAsiaTheme="minorEastAsia" w:hAnsiTheme="minorEastAsia" w:cs="Times New Roman" w:hint="eastAsia"/>
          <w:sz w:val="18"/>
          <w:szCs w:val="18"/>
        </w:rPr>
        <w:t>亿美元，同比增长</w:t>
      </w:r>
      <w:r w:rsidRPr="00940CBE">
        <w:rPr>
          <w:rFonts w:asciiTheme="minorEastAsia" w:eastAsiaTheme="minorEastAsia" w:hAnsiTheme="minorEastAsia" w:cs="Times New Roman"/>
          <w:sz w:val="18"/>
          <w:szCs w:val="18"/>
        </w:rPr>
        <w:t>1.5%</w:t>
      </w:r>
      <w:r w:rsidRPr="00940CBE">
        <w:rPr>
          <w:rFonts w:asciiTheme="minorEastAsia" w:eastAsiaTheme="minorEastAsia" w:hAnsiTheme="minorEastAsia" w:cs="Times New Roman" w:hint="eastAsia"/>
          <w:sz w:val="18"/>
          <w:szCs w:val="18"/>
        </w:rPr>
        <w:t>。其中纺织品出口</w:t>
      </w:r>
      <w:r w:rsidRPr="00940CBE">
        <w:rPr>
          <w:rFonts w:asciiTheme="minorEastAsia" w:eastAsiaTheme="minorEastAsia" w:hAnsiTheme="minorEastAsia" w:cs="Times New Roman"/>
          <w:sz w:val="18"/>
          <w:szCs w:val="18"/>
        </w:rPr>
        <w:t>693.5</w:t>
      </w:r>
      <w:r w:rsidRPr="00940CBE">
        <w:rPr>
          <w:rFonts w:asciiTheme="minorEastAsia" w:eastAsiaTheme="minorEastAsia" w:hAnsiTheme="minorEastAsia" w:cs="Times New Roman" w:hint="eastAsia"/>
          <w:sz w:val="18"/>
          <w:szCs w:val="18"/>
        </w:rPr>
        <w:t>亿美元，同比增长</w:t>
      </w:r>
      <w:r w:rsidRPr="00940CBE">
        <w:rPr>
          <w:rFonts w:asciiTheme="minorEastAsia" w:eastAsiaTheme="minorEastAsia" w:hAnsiTheme="minorEastAsia" w:cs="Times New Roman"/>
          <w:sz w:val="18"/>
          <w:szCs w:val="18"/>
        </w:rPr>
        <w:t>3.3%</w:t>
      </w:r>
      <w:r w:rsidRPr="00940CBE">
        <w:rPr>
          <w:rFonts w:asciiTheme="minorEastAsia" w:eastAsiaTheme="minorEastAsia" w:hAnsiTheme="minorEastAsia" w:cs="Times New Roman" w:hint="eastAsia"/>
          <w:sz w:val="18"/>
          <w:szCs w:val="18"/>
        </w:rPr>
        <w:t>；服装出口</w:t>
      </w:r>
      <w:r w:rsidRPr="00940CBE">
        <w:rPr>
          <w:rFonts w:asciiTheme="minorEastAsia" w:eastAsiaTheme="minorEastAsia" w:hAnsiTheme="minorEastAsia" w:cs="Times New Roman"/>
          <w:sz w:val="18"/>
          <w:szCs w:val="18"/>
        </w:rPr>
        <w:t>738.3</w:t>
      </w:r>
      <w:r w:rsidRPr="00940CBE">
        <w:rPr>
          <w:rFonts w:asciiTheme="minorEastAsia" w:eastAsiaTheme="minorEastAsia" w:hAnsiTheme="minorEastAsia" w:cs="Times New Roman" w:hint="eastAsia"/>
          <w:sz w:val="18"/>
          <w:szCs w:val="18"/>
        </w:rPr>
        <w:t>亿美元，与上年同期基本持平，我国对主要市场纺织品服装出口整体延续修复态势。</w:t>
      </w:r>
    </w:p>
    <w:p w:rsidR="00037019" w:rsidRDefault="00BE788E">
      <w:pPr>
        <w:pStyle w:val="2"/>
        <w:spacing w:before="300" w:after="300" w:line="320" w:lineRule="exact"/>
        <w:rPr>
          <w:rFonts w:ascii="宋体" w:eastAsia="宋体" w:hAnsi="宋体" w:cs="宋体"/>
          <w:b/>
          <w:bCs/>
          <w:sz w:val="24"/>
          <w:szCs w:val="24"/>
        </w:rPr>
      </w:pPr>
      <w:bookmarkStart w:id="15" w:name="_Toc988904"/>
      <w:r>
        <w:rPr>
          <w:rFonts w:ascii="宋体" w:eastAsia="宋体" w:hAnsi="宋体" w:cs="宋体"/>
          <w:b/>
          <w:bCs/>
          <w:sz w:val="24"/>
          <w:szCs w:val="24"/>
        </w:rPr>
        <w:t>二、核心竞争力分析</w:t>
      </w:r>
      <w:bookmarkEnd w:id="15"/>
    </w:p>
    <w:p w:rsidR="00BE788E" w:rsidRPr="005F7252" w:rsidRDefault="00BE788E" w:rsidP="00940CBE">
      <w:pPr>
        <w:pStyle w:val="a3"/>
        <w:spacing w:before="0" w:beforeAutospacing="0" w:after="0" w:afterAutospacing="0"/>
        <w:ind w:firstLine="420"/>
        <w:jc w:val="both"/>
        <w:divId w:val="669798662"/>
        <w:rPr>
          <w:rFonts w:asciiTheme="minorEastAsia" w:eastAsiaTheme="minorEastAsia" w:hAnsiTheme="minorEastAsia" w:cs="Times New Roman"/>
        </w:rPr>
      </w:pPr>
      <w:r w:rsidRPr="005F7252">
        <w:rPr>
          <w:rFonts w:asciiTheme="minorEastAsia" w:eastAsiaTheme="minorEastAsia" w:hAnsiTheme="minorEastAsia" w:cs="Times New Roman"/>
          <w:sz w:val="18"/>
          <w:szCs w:val="18"/>
        </w:rPr>
        <w:t>1</w:t>
      </w:r>
      <w:r w:rsidRPr="005F7252">
        <w:rPr>
          <w:rFonts w:asciiTheme="minorEastAsia" w:eastAsiaTheme="minorEastAsia" w:hAnsiTheme="minorEastAsia" w:cs="Times New Roman" w:hint="eastAsia"/>
          <w:sz w:val="18"/>
          <w:szCs w:val="18"/>
        </w:rPr>
        <w:t>、产业引领者。公司作为全球最大的色纺纱供应商和制造商之一，随着产业集中度的提升和产能扩张、</w:t>
      </w:r>
      <w:proofErr w:type="gramStart"/>
      <w:r w:rsidRPr="005F7252">
        <w:rPr>
          <w:rFonts w:asciiTheme="minorEastAsia" w:eastAsiaTheme="minorEastAsia" w:hAnsiTheme="minorEastAsia" w:cs="Times New Roman" w:hint="eastAsia"/>
          <w:sz w:val="18"/>
          <w:szCs w:val="18"/>
        </w:rPr>
        <w:t>网链战略</w:t>
      </w:r>
      <w:proofErr w:type="gramEnd"/>
      <w:r w:rsidRPr="005F7252">
        <w:rPr>
          <w:rFonts w:asciiTheme="minorEastAsia" w:eastAsiaTheme="minorEastAsia" w:hAnsiTheme="minorEastAsia" w:cs="Times New Roman" w:hint="eastAsia"/>
          <w:sz w:val="18"/>
          <w:szCs w:val="18"/>
        </w:rPr>
        <w:t>的实施，产业协同效应的逐步显现，成长空间大。</w:t>
      </w:r>
    </w:p>
    <w:p w:rsidR="00BE788E" w:rsidRPr="005F7252" w:rsidRDefault="00BE788E" w:rsidP="00940CBE">
      <w:pPr>
        <w:pStyle w:val="a3"/>
        <w:spacing w:before="0" w:beforeAutospacing="0" w:after="0" w:afterAutospacing="0"/>
        <w:ind w:firstLine="420"/>
        <w:jc w:val="both"/>
        <w:divId w:val="669798662"/>
        <w:rPr>
          <w:rFonts w:asciiTheme="minorEastAsia" w:eastAsiaTheme="minorEastAsia" w:hAnsiTheme="minorEastAsia" w:cs="Times New Roman"/>
        </w:rPr>
      </w:pPr>
      <w:r w:rsidRPr="005F7252">
        <w:rPr>
          <w:rFonts w:asciiTheme="minorEastAsia" w:eastAsiaTheme="minorEastAsia" w:hAnsiTheme="minorEastAsia" w:cs="Times New Roman"/>
          <w:sz w:val="18"/>
          <w:szCs w:val="18"/>
        </w:rPr>
        <w:lastRenderedPageBreak/>
        <w:t>2</w:t>
      </w:r>
      <w:r w:rsidRPr="005F7252">
        <w:rPr>
          <w:rFonts w:asciiTheme="minorEastAsia" w:eastAsiaTheme="minorEastAsia" w:hAnsiTheme="minorEastAsia" w:cs="Times New Roman" w:hint="eastAsia"/>
          <w:sz w:val="18"/>
          <w:szCs w:val="18"/>
        </w:rPr>
        <w:t>、全球品牌影响力。全球主要服饰名牌的首选纱线，“华孚牌”也是国家驰名商标。“华孚牌”是色纺产业趋势引领者、标准制定者、时尚风向标。</w:t>
      </w:r>
    </w:p>
    <w:p w:rsidR="00BE788E" w:rsidRPr="005F7252" w:rsidRDefault="00BE788E" w:rsidP="00940CBE">
      <w:pPr>
        <w:pStyle w:val="a3"/>
        <w:spacing w:before="0" w:beforeAutospacing="0" w:after="0" w:afterAutospacing="0"/>
        <w:ind w:firstLine="420"/>
        <w:jc w:val="both"/>
        <w:divId w:val="669798662"/>
        <w:rPr>
          <w:rFonts w:asciiTheme="minorEastAsia" w:eastAsiaTheme="minorEastAsia" w:hAnsiTheme="minorEastAsia" w:cs="Times New Roman"/>
        </w:rPr>
      </w:pPr>
      <w:r w:rsidRPr="005F7252">
        <w:rPr>
          <w:rFonts w:asciiTheme="minorEastAsia" w:eastAsiaTheme="minorEastAsia" w:hAnsiTheme="minorEastAsia" w:cs="Times New Roman"/>
          <w:sz w:val="18"/>
          <w:szCs w:val="18"/>
        </w:rPr>
        <w:t>3</w:t>
      </w:r>
      <w:r w:rsidRPr="005F7252">
        <w:rPr>
          <w:rFonts w:asciiTheme="minorEastAsia" w:eastAsiaTheme="minorEastAsia" w:hAnsiTheme="minorEastAsia" w:cs="Times New Roman" w:hint="eastAsia"/>
          <w:sz w:val="18"/>
          <w:szCs w:val="18"/>
        </w:rPr>
        <w:t>、快速反应能力。随着前端供应链的整合和产能布局的完善，通过</w:t>
      </w:r>
      <w:r w:rsidRPr="005F7252">
        <w:rPr>
          <w:rFonts w:asciiTheme="minorEastAsia" w:eastAsiaTheme="minorEastAsia" w:hAnsiTheme="minorEastAsia" w:cs="Times New Roman"/>
          <w:sz w:val="18"/>
          <w:szCs w:val="18"/>
        </w:rPr>
        <w:t>SAPERP/CRM/MES/PDM/ATP</w:t>
      </w:r>
      <w:r w:rsidRPr="005F7252">
        <w:rPr>
          <w:rFonts w:asciiTheme="minorEastAsia" w:eastAsiaTheme="minorEastAsia" w:hAnsiTheme="minorEastAsia" w:cs="Times New Roman" w:hint="eastAsia"/>
          <w:sz w:val="18"/>
          <w:szCs w:val="18"/>
        </w:rPr>
        <w:t>等信息化、智能化手段，实现了集聚订单、灵活染色、柔性生产、快速交货、定制服务的供应链系统。</w:t>
      </w:r>
    </w:p>
    <w:p w:rsidR="00BE788E" w:rsidRPr="005F7252" w:rsidRDefault="00BE788E" w:rsidP="00940CBE">
      <w:pPr>
        <w:pStyle w:val="a3"/>
        <w:spacing w:before="0" w:beforeAutospacing="0" w:after="0" w:afterAutospacing="0"/>
        <w:ind w:firstLine="420"/>
        <w:jc w:val="both"/>
        <w:divId w:val="669798662"/>
        <w:rPr>
          <w:rFonts w:asciiTheme="minorEastAsia" w:eastAsiaTheme="minorEastAsia" w:hAnsiTheme="minorEastAsia" w:cs="Times New Roman"/>
        </w:rPr>
      </w:pPr>
      <w:r w:rsidRPr="005F7252">
        <w:rPr>
          <w:rFonts w:asciiTheme="minorEastAsia" w:eastAsiaTheme="minorEastAsia" w:hAnsiTheme="minorEastAsia" w:cs="Times New Roman"/>
          <w:sz w:val="18"/>
          <w:szCs w:val="18"/>
        </w:rPr>
        <w:t>4</w:t>
      </w:r>
      <w:r w:rsidRPr="005F7252">
        <w:rPr>
          <w:rFonts w:asciiTheme="minorEastAsia" w:eastAsiaTheme="minorEastAsia" w:hAnsiTheme="minorEastAsia" w:cs="Times New Roman" w:hint="eastAsia"/>
          <w:sz w:val="18"/>
          <w:szCs w:val="18"/>
        </w:rPr>
        <w:t>、产品创新能力。公司加强产业合作，筹建了华孚大学和博士后工作站，建立了趋势、色彩、材质、纺纱、染整、设计、应用、可持续发展等专业研发团队，申报国家专利共计</w:t>
      </w:r>
      <w:r w:rsidRPr="005F7252">
        <w:rPr>
          <w:rFonts w:asciiTheme="minorEastAsia" w:eastAsiaTheme="minorEastAsia" w:hAnsiTheme="minorEastAsia" w:cs="Times New Roman"/>
          <w:sz w:val="18"/>
          <w:szCs w:val="18"/>
        </w:rPr>
        <w:t>166</w:t>
      </w:r>
      <w:r w:rsidRPr="005F7252">
        <w:rPr>
          <w:rFonts w:asciiTheme="minorEastAsia" w:eastAsiaTheme="minorEastAsia" w:hAnsiTheme="minorEastAsia" w:cs="Times New Roman" w:hint="eastAsia"/>
          <w:sz w:val="18"/>
          <w:szCs w:val="18"/>
        </w:rPr>
        <w:t>项，已获国家专利授权</w:t>
      </w:r>
      <w:r w:rsidRPr="005F7252">
        <w:rPr>
          <w:rFonts w:asciiTheme="minorEastAsia" w:eastAsiaTheme="minorEastAsia" w:hAnsiTheme="minorEastAsia" w:cs="Times New Roman"/>
          <w:sz w:val="18"/>
          <w:szCs w:val="18"/>
        </w:rPr>
        <w:t>114</w:t>
      </w:r>
      <w:r w:rsidRPr="005F7252">
        <w:rPr>
          <w:rFonts w:asciiTheme="minorEastAsia" w:eastAsiaTheme="minorEastAsia" w:hAnsiTheme="minorEastAsia" w:cs="Times New Roman" w:hint="eastAsia"/>
          <w:sz w:val="18"/>
          <w:szCs w:val="18"/>
        </w:rPr>
        <w:t>项，其中发明专利</w:t>
      </w:r>
      <w:r w:rsidRPr="005F7252">
        <w:rPr>
          <w:rFonts w:asciiTheme="minorEastAsia" w:eastAsiaTheme="minorEastAsia" w:hAnsiTheme="minorEastAsia" w:cs="Times New Roman"/>
          <w:sz w:val="18"/>
          <w:szCs w:val="18"/>
        </w:rPr>
        <w:t>54</w:t>
      </w:r>
      <w:r w:rsidRPr="005F7252">
        <w:rPr>
          <w:rFonts w:asciiTheme="minorEastAsia" w:eastAsiaTheme="minorEastAsia" w:hAnsiTheme="minorEastAsia" w:cs="Times New Roman" w:hint="eastAsia"/>
          <w:sz w:val="18"/>
          <w:szCs w:val="18"/>
        </w:rPr>
        <w:t>个，实用新型专利</w:t>
      </w:r>
      <w:r w:rsidRPr="005F7252">
        <w:rPr>
          <w:rFonts w:asciiTheme="minorEastAsia" w:eastAsiaTheme="minorEastAsia" w:hAnsiTheme="minorEastAsia" w:cs="Times New Roman"/>
          <w:sz w:val="18"/>
          <w:szCs w:val="18"/>
        </w:rPr>
        <w:t>60</w:t>
      </w:r>
      <w:r w:rsidRPr="005F7252">
        <w:rPr>
          <w:rFonts w:asciiTheme="minorEastAsia" w:eastAsiaTheme="minorEastAsia" w:hAnsiTheme="minorEastAsia" w:cs="Times New Roman" w:hint="eastAsia"/>
          <w:sz w:val="18"/>
          <w:szCs w:val="18"/>
        </w:rPr>
        <w:t>个。专利数量居色纺行业第一，全球领先。</w:t>
      </w:r>
    </w:p>
    <w:p w:rsidR="00BE788E" w:rsidRPr="005F7252" w:rsidRDefault="00BE788E" w:rsidP="00940CBE">
      <w:pPr>
        <w:pStyle w:val="a3"/>
        <w:spacing w:before="0" w:beforeAutospacing="0" w:after="0" w:afterAutospacing="0"/>
        <w:ind w:firstLine="420"/>
        <w:jc w:val="both"/>
        <w:divId w:val="669798662"/>
        <w:rPr>
          <w:rFonts w:asciiTheme="minorEastAsia" w:eastAsiaTheme="minorEastAsia" w:hAnsiTheme="minorEastAsia" w:cs="Times New Roman"/>
        </w:rPr>
      </w:pPr>
      <w:r w:rsidRPr="005F7252">
        <w:rPr>
          <w:rFonts w:asciiTheme="minorEastAsia" w:eastAsiaTheme="minorEastAsia" w:hAnsiTheme="minorEastAsia" w:cs="Times New Roman"/>
          <w:sz w:val="18"/>
          <w:szCs w:val="18"/>
        </w:rPr>
        <w:t>5</w:t>
      </w:r>
      <w:r w:rsidRPr="005F7252">
        <w:rPr>
          <w:rFonts w:asciiTheme="minorEastAsia" w:eastAsiaTheme="minorEastAsia" w:hAnsiTheme="minorEastAsia" w:cs="Times New Roman" w:hint="eastAsia"/>
          <w:sz w:val="18"/>
          <w:szCs w:val="18"/>
        </w:rPr>
        <w:t>、</w:t>
      </w:r>
      <w:proofErr w:type="gramStart"/>
      <w:r w:rsidRPr="005F7252">
        <w:rPr>
          <w:rFonts w:asciiTheme="minorEastAsia" w:eastAsiaTheme="minorEastAsia" w:hAnsiTheme="minorEastAsia" w:cs="Times New Roman" w:hint="eastAsia"/>
          <w:sz w:val="18"/>
          <w:szCs w:val="18"/>
        </w:rPr>
        <w:t>数智化</w:t>
      </w:r>
      <w:proofErr w:type="gramEnd"/>
      <w:r w:rsidRPr="005F7252">
        <w:rPr>
          <w:rFonts w:asciiTheme="minorEastAsia" w:eastAsiaTheme="minorEastAsia" w:hAnsiTheme="minorEastAsia" w:cs="Times New Roman" w:hint="eastAsia"/>
          <w:sz w:val="18"/>
          <w:szCs w:val="18"/>
        </w:rPr>
        <w:t>和</w:t>
      </w:r>
      <w:proofErr w:type="gramStart"/>
      <w:r w:rsidRPr="005F7252">
        <w:rPr>
          <w:rFonts w:asciiTheme="minorEastAsia" w:eastAsiaTheme="minorEastAsia" w:hAnsiTheme="minorEastAsia" w:cs="Times New Roman" w:hint="eastAsia"/>
          <w:sz w:val="18"/>
          <w:szCs w:val="18"/>
        </w:rPr>
        <w:t>网链战略</w:t>
      </w:r>
      <w:proofErr w:type="gramEnd"/>
      <w:r w:rsidRPr="005F7252">
        <w:rPr>
          <w:rFonts w:asciiTheme="minorEastAsia" w:eastAsiaTheme="minorEastAsia" w:hAnsiTheme="minorEastAsia" w:cs="Times New Roman" w:hint="eastAsia"/>
          <w:sz w:val="18"/>
          <w:szCs w:val="18"/>
        </w:rPr>
        <w:t>的优势。公司通过</w:t>
      </w:r>
      <w:proofErr w:type="gramStart"/>
      <w:r w:rsidRPr="005F7252">
        <w:rPr>
          <w:rFonts w:asciiTheme="minorEastAsia" w:eastAsiaTheme="minorEastAsia" w:hAnsiTheme="minorEastAsia" w:cs="Times New Roman" w:hint="eastAsia"/>
          <w:sz w:val="18"/>
          <w:szCs w:val="18"/>
        </w:rPr>
        <w:t>推进数智升级</w:t>
      </w:r>
      <w:proofErr w:type="gramEnd"/>
      <w:r w:rsidRPr="005F7252">
        <w:rPr>
          <w:rFonts w:asciiTheme="minorEastAsia" w:eastAsiaTheme="minorEastAsia" w:hAnsiTheme="minorEastAsia" w:cs="Times New Roman" w:hint="eastAsia"/>
          <w:sz w:val="18"/>
          <w:szCs w:val="18"/>
        </w:rPr>
        <w:t>战略，在数</w:t>
      </w:r>
      <w:proofErr w:type="gramStart"/>
      <w:r w:rsidRPr="005F7252">
        <w:rPr>
          <w:rFonts w:asciiTheme="minorEastAsia" w:eastAsiaTheme="minorEastAsia" w:hAnsiTheme="minorEastAsia" w:cs="Times New Roman" w:hint="eastAsia"/>
          <w:sz w:val="18"/>
          <w:szCs w:val="18"/>
        </w:rPr>
        <w:t>智工厂</w:t>
      </w:r>
      <w:proofErr w:type="gramEnd"/>
      <w:r w:rsidRPr="005F7252">
        <w:rPr>
          <w:rFonts w:asciiTheme="minorEastAsia" w:eastAsiaTheme="minorEastAsia" w:hAnsiTheme="minorEastAsia" w:cs="Times New Roman" w:hint="eastAsia"/>
          <w:sz w:val="18"/>
          <w:szCs w:val="18"/>
        </w:rPr>
        <w:t>建设、产业贯通的数字化平台建设方面具有领先优势；公司</w:t>
      </w:r>
      <w:proofErr w:type="gramStart"/>
      <w:r w:rsidRPr="005F7252">
        <w:rPr>
          <w:rFonts w:asciiTheme="minorEastAsia" w:eastAsiaTheme="minorEastAsia" w:hAnsiTheme="minorEastAsia" w:cs="Times New Roman" w:hint="eastAsia"/>
          <w:sz w:val="18"/>
          <w:szCs w:val="18"/>
        </w:rPr>
        <w:t>通过网链转型</w:t>
      </w:r>
      <w:proofErr w:type="gramEnd"/>
      <w:r w:rsidRPr="005F7252">
        <w:rPr>
          <w:rFonts w:asciiTheme="minorEastAsia" w:eastAsiaTheme="minorEastAsia" w:hAnsiTheme="minorEastAsia" w:cs="Times New Roman" w:hint="eastAsia"/>
          <w:sz w:val="18"/>
          <w:szCs w:val="18"/>
        </w:rPr>
        <w:t>战略的实施，</w:t>
      </w:r>
      <w:proofErr w:type="gramStart"/>
      <w:r w:rsidRPr="005F7252">
        <w:rPr>
          <w:rFonts w:asciiTheme="minorEastAsia" w:eastAsiaTheme="minorEastAsia" w:hAnsiTheme="minorEastAsia" w:cs="Times New Roman" w:hint="eastAsia"/>
          <w:sz w:val="18"/>
          <w:szCs w:val="18"/>
        </w:rPr>
        <w:t>前端网链形成</w:t>
      </w:r>
      <w:proofErr w:type="gramEnd"/>
      <w:r w:rsidRPr="005F7252">
        <w:rPr>
          <w:rFonts w:asciiTheme="minorEastAsia" w:eastAsiaTheme="minorEastAsia" w:hAnsiTheme="minorEastAsia" w:cs="Times New Roman" w:hint="eastAsia"/>
          <w:sz w:val="18"/>
          <w:szCs w:val="18"/>
        </w:rPr>
        <w:t>了一定的规模，后端网链袜业品类模式取得突破，通过产业互联网的推进产生产业协同效应。</w:t>
      </w:r>
    </w:p>
    <w:p w:rsidR="00037019" w:rsidRDefault="00BE788E">
      <w:pPr>
        <w:pStyle w:val="2"/>
        <w:spacing w:before="300" w:after="300" w:line="320" w:lineRule="exact"/>
        <w:rPr>
          <w:rFonts w:ascii="宋体" w:eastAsia="宋体" w:hAnsi="宋体" w:cs="宋体"/>
          <w:b/>
          <w:bCs/>
          <w:sz w:val="24"/>
          <w:szCs w:val="24"/>
        </w:rPr>
      </w:pPr>
      <w:bookmarkStart w:id="16" w:name="_Toc988905"/>
      <w:r>
        <w:rPr>
          <w:rFonts w:ascii="宋体" w:eastAsia="宋体" w:hAnsi="宋体" w:cs="宋体"/>
          <w:b/>
          <w:bCs/>
          <w:sz w:val="24"/>
          <w:szCs w:val="24"/>
        </w:rPr>
        <w:t>三、主营业务分析</w:t>
      </w:r>
      <w:bookmarkEnd w:id="1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概述</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参见“一、报告期内公司从事的主要业务”相关内容。</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主要财务数据同比变动情况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变动原因</w:t>
            </w: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营业成本</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7,335,998,463.15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销售费用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52,789,991.86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69,697,200.52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管理费用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156,860,189.02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181,512,594.41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财务费用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101,914,282.91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48,595,652.92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109.72%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主要系本期汇兑收益减少所致。</w:t>
            </w: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-5,914,623.64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294.89%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主要系当期所得税费用增加所致。</w:t>
            </w: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研发投入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56,859,805.33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55,547,119.18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1,093,172,214.63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-318,393,531.49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244,079,423.54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主要</w:t>
            </w:r>
            <w:proofErr w:type="gramStart"/>
            <w:r>
              <w:rPr>
                <w:rFonts w:ascii="宋体" w:eastAsia="宋体" w:hAnsi="宋体" w:cs="宋体"/>
                <w:sz w:val="18"/>
                <w:szCs w:val="18"/>
              </w:rPr>
              <w:t>系购建资产</w:t>
            </w:r>
            <w:proofErr w:type="gramEnd"/>
            <w:r>
              <w:rPr>
                <w:rFonts w:ascii="宋体" w:eastAsia="宋体" w:hAnsi="宋体" w:cs="宋体"/>
                <w:sz w:val="18"/>
                <w:szCs w:val="18"/>
              </w:rPr>
              <w:t>增加所致。</w:t>
            </w: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-1,352,086,260.27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-1,368,364,774.41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940CB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现金及现金等价物净增加额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-569,010,967.38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393,169,963.30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-244.72%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主要</w:t>
            </w:r>
            <w:proofErr w:type="gramStart"/>
            <w:r>
              <w:rPr>
                <w:rFonts w:ascii="宋体" w:eastAsia="宋体" w:hAnsi="宋体" w:cs="宋体"/>
                <w:sz w:val="18"/>
                <w:szCs w:val="18"/>
              </w:rPr>
              <w:t>系购建资产</w:t>
            </w:r>
            <w:proofErr w:type="gramEnd"/>
            <w:r>
              <w:rPr>
                <w:rFonts w:ascii="宋体" w:eastAsia="宋体" w:hAnsi="宋体" w:cs="宋体"/>
                <w:sz w:val="18"/>
                <w:szCs w:val="18"/>
              </w:rPr>
              <w:t>增加所致。</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公司报告期利润构成或利润来源发生重大变动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公司报告期利润构成或利润来源没有发生重大变动。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营业收入构成</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904"/>
        <w:gridCol w:w="1701"/>
        <w:gridCol w:w="1985"/>
        <w:gridCol w:w="1559"/>
        <w:gridCol w:w="884"/>
      </w:tblGrid>
      <w:tr w:rsidR="00037019" w:rsidTr="00940CBE">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60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354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88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37019" w:rsidTr="00940CBE">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0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98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88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营业收入合计</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-15.87%</w:t>
            </w:r>
          </w:p>
        </w:tc>
      </w:tr>
      <w:tr w:rsidR="00037019">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棉纺行业</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-15.87%</w:t>
            </w:r>
          </w:p>
        </w:tc>
      </w:tr>
      <w:tr w:rsidR="00037019">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3,114,321,736.71</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40.17%</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50.69%</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4,358,353,338.59</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56.22%</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-24.13%</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祙制品</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228,170,485.11</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-50.80%</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0.83%</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0.67%</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r>
      <w:tr w:rsidR="00037019">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出口销售</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12.29%</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772,292,493.26</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9.96%</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w:t>
            </w:r>
          </w:p>
        </w:tc>
      </w:tr>
      <w:tr w:rsidR="00037019" w:rsidTr="00940CBE">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国内销售</w:t>
            </w:r>
          </w:p>
        </w:tc>
        <w:tc>
          <w:tcPr>
            <w:tcW w:w="19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5,721,467,997.68</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87.71%</w:t>
            </w:r>
          </w:p>
        </w:tc>
        <w:tc>
          <w:tcPr>
            <w:tcW w:w="19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6,980,634,219.55</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90.04%</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占公司营业收入或营业利润10%以上的行业、产品或地区情况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708"/>
        <w:gridCol w:w="1701"/>
        <w:gridCol w:w="851"/>
        <w:gridCol w:w="1417"/>
        <w:gridCol w:w="1418"/>
        <w:gridCol w:w="1167"/>
      </w:tblGrid>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37019">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6,468,606,545.71</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6,103,676,815.26</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5.64%</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0.48%</w:t>
            </w:r>
          </w:p>
        </w:tc>
      </w:tr>
      <w:tr w:rsidR="00037019">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2,804,191,089.99</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8.05%</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-0.14%</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3,214,154,352.60</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-24.65%</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0.67%</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祙制品</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85,331,372.67</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23.99%</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w:t>
            </w:r>
          </w:p>
        </w:tc>
      </w:tr>
      <w:tr w:rsidR="00037019">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出口销售</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710,389,894.60</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0.86%</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国内销售</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5,667,201,896.39</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5,393,286,920.66</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4.83%</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-18.21%</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-18.28%</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0.08%</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公司主营业务数据统计口径在报告期发生调整的情况下，公司最近1期按报告期末口径调整后的主营业务数据</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公司需遵守《深圳证券交易所上市公司自律监管指引第3号——行业信息披露》中的“纺织服装相关业务”的披露要求</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708"/>
        <w:gridCol w:w="1701"/>
        <w:gridCol w:w="851"/>
        <w:gridCol w:w="1417"/>
        <w:gridCol w:w="1418"/>
        <w:gridCol w:w="1167"/>
      </w:tblGrid>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37019">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6.21%</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0.83%</w:t>
            </w:r>
          </w:p>
        </w:tc>
      </w:tr>
      <w:tr w:rsidR="00037019">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2,804,191,089.99</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8.05%</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-0.14%</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3,214,154,352.60</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-24.65%</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0.67%</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祙制品</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85,331,372.67</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23.99%</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73.79%</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-55.94%</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35.77%</w:t>
            </w:r>
          </w:p>
        </w:tc>
      </w:tr>
      <w:tr w:rsidR="00037019">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出口销售</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710,389,894.60</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0.86%</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w:t>
            </w:r>
          </w:p>
        </w:tc>
      </w:tr>
      <w:tr w:rsidR="00037019" w:rsidTr="00940CBE">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国内销售</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5,721,467,997.68</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5,407,508,708.72</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5.49%</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-18.46%</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0.49%</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公司主营业务数据统计口径在报告期发生调整的情况下，公司最近1年按报告期末口径调整后的主营业务数据</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公司是否有实体门店销售终端</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上市公司新增门店情况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公司是否披露前五大加盟店铺情况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2"/>
        <w:spacing w:before="300" w:after="300" w:line="320" w:lineRule="exact"/>
        <w:rPr>
          <w:rFonts w:ascii="宋体" w:eastAsia="宋体" w:hAnsi="宋体" w:cs="宋体"/>
          <w:b/>
          <w:bCs/>
          <w:sz w:val="24"/>
          <w:szCs w:val="24"/>
        </w:rPr>
      </w:pPr>
      <w:bookmarkStart w:id="17" w:name="_Toc988906"/>
      <w:r>
        <w:rPr>
          <w:rFonts w:ascii="宋体" w:eastAsia="宋体" w:hAnsi="宋体" w:cs="宋体"/>
          <w:b/>
          <w:bCs/>
          <w:sz w:val="24"/>
          <w:szCs w:val="24"/>
        </w:rPr>
        <w:t>四、纺织服装相关行业信息披露指引要求的其他信息</w:t>
      </w:r>
      <w:bookmarkEnd w:id="17"/>
    </w:p>
    <w:p w:rsidR="00037019" w:rsidRDefault="00BE788E">
      <w:pPr>
        <w:pStyle w:val="3"/>
        <w:spacing w:line="280" w:lineRule="exact"/>
        <w:jc w:val="left"/>
        <w:rPr>
          <w:rFonts w:ascii="宋体" w:hAnsi="宋体" w:cs="宋体"/>
          <w:b/>
          <w:bCs/>
        </w:rPr>
      </w:pPr>
      <w:bookmarkStart w:id="18" w:name="_Toc988907"/>
      <w:r>
        <w:rPr>
          <w:rFonts w:ascii="宋体" w:hAnsi="宋体" w:cs="宋体"/>
          <w:b/>
          <w:bCs/>
        </w:rPr>
        <w:t>1、产能情况</w:t>
      </w:r>
      <w:bookmarkEnd w:id="1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公司自有产能状况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总产能</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 206万锭</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  206万锭</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88.00%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产能利用率同比变动超过10% </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是否存在境外产能</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境内</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境外</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产能的占比</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15.00%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产能的布局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 177万锭</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 29万锭</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5F7252">
            <w:pPr>
              <w:spacing w:line="240" w:lineRule="exact"/>
              <w:jc w:val="right"/>
              <w:rPr>
                <w:rFonts w:ascii="宋体" w:eastAsia="宋体" w:hAnsi="宋体" w:cs="宋体"/>
                <w:sz w:val="18"/>
                <w:szCs w:val="18"/>
              </w:rPr>
            </w:pPr>
            <w:r>
              <w:rPr>
                <w:rFonts w:ascii="宋体" w:eastAsia="宋体" w:hAnsi="宋体" w:cs="宋体"/>
                <w:sz w:val="18"/>
                <w:szCs w:val="18"/>
              </w:rPr>
              <w:t>88.00%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公司未来的境外产能扩建计划</w:t>
      </w:r>
    </w:p>
    <w:p w:rsidR="00BE788E" w:rsidRDefault="00BE788E">
      <w:pPr>
        <w:pStyle w:val="a3"/>
        <w:divId w:val="172347725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9" w:name="_Toc988908"/>
      <w:r>
        <w:rPr>
          <w:rFonts w:ascii="宋体" w:hAnsi="宋体" w:cs="宋体"/>
          <w:b/>
          <w:bCs/>
        </w:rPr>
        <w:t>2、销售模式及渠道情况</w:t>
      </w:r>
      <w:bookmarkEnd w:id="19"/>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771"/>
        <w:gridCol w:w="1772"/>
        <w:gridCol w:w="864"/>
        <w:gridCol w:w="1377"/>
        <w:gridCol w:w="1377"/>
        <w:gridCol w:w="1377"/>
      </w:tblGrid>
      <w:tr w:rsidR="00037019" w:rsidTr="005F7252">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销售渠道</w:t>
            </w:r>
          </w:p>
        </w:tc>
        <w:tc>
          <w:tcPr>
            <w:tcW w:w="17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37019" w:rsidTr="005F7252">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5F7252">
            <w:pPr>
              <w:spacing w:before="40" w:after="40" w:line="240" w:lineRule="exact"/>
              <w:jc w:val="center"/>
              <w:rPr>
                <w:rFonts w:ascii="宋体" w:eastAsia="宋体" w:hAnsi="宋体" w:cs="宋体"/>
                <w:sz w:val="18"/>
                <w:szCs w:val="18"/>
              </w:rPr>
            </w:pPr>
            <w:r>
              <w:rPr>
                <w:rFonts w:ascii="宋体" w:eastAsia="宋体" w:hAnsi="宋体" w:cs="宋体"/>
                <w:sz w:val="18"/>
                <w:szCs w:val="18"/>
              </w:rPr>
              <w:t>线上销售</w:t>
            </w:r>
          </w:p>
        </w:tc>
        <w:tc>
          <w:tcPr>
            <w:tcW w:w="1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53,713,413.11</w:t>
            </w:r>
          </w:p>
        </w:tc>
        <w:tc>
          <w:tcPr>
            <w:tcW w:w="17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27,655,842.92</w:t>
            </w:r>
          </w:p>
        </w:tc>
        <w:tc>
          <w:tcPr>
            <w:tcW w:w="8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-34.91%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-34.87%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r>
      <w:tr w:rsidR="00037019" w:rsidTr="005F7252">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5F7252">
            <w:pPr>
              <w:spacing w:before="40" w:after="40" w:line="240" w:lineRule="exact"/>
              <w:jc w:val="center"/>
              <w:rPr>
                <w:rFonts w:ascii="宋体" w:eastAsia="宋体" w:hAnsi="宋体" w:cs="宋体"/>
                <w:sz w:val="18"/>
                <w:szCs w:val="18"/>
              </w:rPr>
            </w:pPr>
            <w:r>
              <w:rPr>
                <w:rFonts w:ascii="宋体" w:eastAsia="宋体" w:hAnsi="宋体" w:cs="宋体"/>
                <w:sz w:val="18"/>
                <w:szCs w:val="18"/>
              </w:rPr>
              <w:t>直营销售</w:t>
            </w:r>
          </w:p>
        </w:tc>
        <w:tc>
          <w:tcPr>
            <w:tcW w:w="1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6,469,159,233.89</w:t>
            </w:r>
          </w:p>
        </w:tc>
        <w:tc>
          <w:tcPr>
            <w:tcW w:w="17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6,090,242,760.40</w:t>
            </w:r>
          </w:p>
        </w:tc>
        <w:tc>
          <w:tcPr>
            <w:tcW w:w="8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0.95%</w:t>
            </w:r>
          </w:p>
        </w:tc>
      </w:tr>
    </w:tbl>
    <w:p w:rsidR="00037019" w:rsidRDefault="00BE788E">
      <w:pPr>
        <w:pStyle w:val="3"/>
        <w:spacing w:line="280" w:lineRule="exact"/>
        <w:jc w:val="left"/>
        <w:rPr>
          <w:rFonts w:ascii="宋体" w:hAnsi="宋体" w:cs="宋体"/>
          <w:b/>
          <w:bCs/>
        </w:rPr>
      </w:pPr>
      <w:bookmarkStart w:id="20" w:name="_Toc988909"/>
      <w:r>
        <w:rPr>
          <w:rFonts w:ascii="宋体" w:hAnsi="宋体" w:cs="宋体"/>
          <w:b/>
          <w:bCs/>
        </w:rPr>
        <w:t>3、销售费用及构成</w:t>
      </w:r>
      <w:bookmarkEnd w:id="20"/>
    </w:p>
    <w:p w:rsidR="00BE788E" w:rsidRDefault="00BE788E" w:rsidP="005F7252">
      <w:pPr>
        <w:pStyle w:val="a3"/>
        <w:jc w:val="right"/>
        <w:divId w:val="2056659311"/>
        <w:rPr>
          <w:sz w:val="18"/>
          <w:szCs w:val="18"/>
        </w:rPr>
      </w:pPr>
      <w:r>
        <w:rPr>
          <w:rFonts w:hint="eastAsia"/>
          <w:sz w:val="18"/>
          <w:szCs w:val="18"/>
        </w:rPr>
        <w:t>  单位：元</w:t>
      </w:r>
    </w:p>
    <w:tbl>
      <w:tblPr>
        <w:tblW w:w="9640" w:type="dxa"/>
        <w:tblLayout w:type="fixed"/>
        <w:tblCellMar>
          <w:left w:w="0" w:type="dxa"/>
          <w:right w:w="0" w:type="dxa"/>
        </w:tblCellMar>
        <w:tblLook w:val="04A0" w:firstRow="1" w:lastRow="0" w:firstColumn="1" w:lastColumn="0" w:noHBand="0" w:noVBand="1"/>
      </w:tblPr>
      <w:tblGrid>
        <w:gridCol w:w="1711"/>
        <w:gridCol w:w="3964"/>
        <w:gridCol w:w="3965"/>
      </w:tblGrid>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项目</w:t>
            </w:r>
            <w:r>
              <w:rPr>
                <w:rFonts w:hint="eastAsia"/>
                <w:sz w:val="18"/>
                <w:szCs w:val="18"/>
              </w:rPr>
              <w:t> </w:t>
            </w:r>
          </w:p>
        </w:tc>
        <w:tc>
          <w:tcPr>
            <w:tcW w:w="3964" w:type="dxa"/>
            <w:tcBorders>
              <w:top w:val="single" w:sz="8" w:space="0" w:color="auto"/>
              <w:left w:val="single" w:sz="2" w:space="0" w:color="auto"/>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 </w:t>
            </w:r>
            <w:r>
              <w:rPr>
                <w:rFonts w:hint="eastAsia"/>
                <w:sz w:val="18"/>
                <w:szCs w:val="18"/>
              </w:rPr>
              <w:t>本期发生额</w:t>
            </w:r>
            <w:r>
              <w:rPr>
                <w:rFonts w:hint="eastAsia"/>
                <w:sz w:val="18"/>
                <w:szCs w:val="18"/>
              </w:rPr>
              <w:t> </w:t>
            </w:r>
          </w:p>
        </w:tc>
        <w:tc>
          <w:tcPr>
            <w:tcW w:w="3965"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 </w:t>
            </w:r>
            <w:r>
              <w:rPr>
                <w:rFonts w:hint="eastAsia"/>
                <w:sz w:val="18"/>
                <w:szCs w:val="18"/>
              </w:rPr>
              <w:t>上期发生额</w:t>
            </w:r>
            <w:r>
              <w:rPr>
                <w:rFonts w:hint="eastAsia"/>
                <w:sz w:val="18"/>
                <w:szCs w:val="18"/>
              </w:rPr>
              <w:t> </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工资及相关费用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6B7DD1">
            <w:pPr>
              <w:jc w:val="right"/>
              <w:rPr>
                <w:rFonts w:asciiTheme="minorEastAsia" w:hAnsiTheme="minorEastAsia" w:cs="Times New Roman"/>
                <w:sz w:val="18"/>
                <w:szCs w:val="18"/>
              </w:rPr>
            </w:pPr>
            <w:r w:rsidRPr="00BE788E">
              <w:rPr>
                <w:rFonts w:asciiTheme="minorEastAsia" w:hAnsiTheme="minorEastAsia" w:cs="Times New Roman"/>
                <w:sz w:val="18"/>
                <w:szCs w:val="18"/>
              </w:rPr>
              <w:t>  </w:t>
            </w:r>
            <w:r w:rsidR="00BE788E" w:rsidRPr="00BE788E">
              <w:rPr>
                <w:rFonts w:asciiTheme="minorEastAsia" w:hAnsiTheme="minorEastAsia" w:cs="Times New Roman"/>
                <w:sz w:val="18"/>
                <w:szCs w:val="18"/>
              </w:rPr>
              <w:t>16,894,253.13</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19,141,669.72</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办公费用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sidRPr="00BE788E">
              <w:rPr>
                <w:rFonts w:asciiTheme="minorEastAsia" w:hAnsiTheme="minorEastAsia" w:cs="Times New Roman"/>
                <w:sz w:val="18"/>
                <w:szCs w:val="18"/>
              </w:rPr>
              <w:t>418,011.23</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1,220,485.14</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租赁费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14,796,750.63</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19,559,041.74</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开发费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rsidP="00BE788E">
            <w:pPr>
              <w:jc w:val="right"/>
              <w:rPr>
                <w:rFonts w:asciiTheme="minorEastAsia" w:hAnsiTheme="minorEastAsia" w:cs="Times New Roman"/>
                <w:sz w:val="18"/>
                <w:szCs w:val="18"/>
              </w:rPr>
            </w:pPr>
            <w:r w:rsidRPr="00BE788E">
              <w:rPr>
                <w:rFonts w:asciiTheme="minorEastAsia" w:hAnsiTheme="minorEastAsia" w:cs="Times New Roman"/>
                <w:sz w:val="18"/>
                <w:szCs w:val="18"/>
              </w:rPr>
              <w:t>   </w:t>
            </w:r>
            <w:r>
              <w:rPr>
                <w:rFonts w:asciiTheme="minorEastAsia" w:hAnsiTheme="minorEastAsia" w:cs="Times New Roman"/>
                <w:sz w:val="18"/>
                <w:szCs w:val="18"/>
              </w:rPr>
              <w:t>              </w:t>
            </w:r>
            <w:r>
              <w:rPr>
                <w:rFonts w:asciiTheme="minorEastAsia" w:hAnsiTheme="minorEastAsia" w:cs="Times New Roman" w:hint="eastAsia"/>
                <w:sz w:val="18"/>
                <w:szCs w:val="18"/>
              </w:rPr>
              <w:t>-</w:t>
            </w:r>
            <w:r>
              <w:rPr>
                <w:rFonts w:asciiTheme="minorEastAsia" w:hAnsiTheme="minorEastAsia" w:cs="Times New Roman"/>
                <w:sz w:val="18"/>
                <w:szCs w:val="18"/>
              </w:rPr>
              <w:t>  </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565,887.68</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低值易耗品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831,240.34</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2,502,526.01</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修理费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129,217.77</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2,399,371.49</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折旧费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4,209,168.09</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4,205,791.01</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差旅费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369,477.54</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486,333.25</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lastRenderedPageBreak/>
              <w:t>业务招待费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129,151.07</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213,375.39</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电商平台服务费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11,999,550.80</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17,622,341.70</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其他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3,013,171.26</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xml:space="preserve"> 1,780,377.39</w:t>
            </w:r>
          </w:p>
        </w:tc>
      </w:tr>
      <w:tr w:rsidR="00BE788E" w:rsidTr="003940A7">
        <w:trPr>
          <w:divId w:val="2056659311"/>
          <w:cantSplit/>
          <w:trHeight w:val="300"/>
        </w:trPr>
        <w:tc>
          <w:tcPr>
            <w:tcW w:w="1711" w:type="dxa"/>
            <w:tcBorders>
              <w:top w:val="single" w:sz="2" w:space="0" w:color="auto"/>
              <w:left w:val="single" w:sz="2" w:space="0" w:color="auto"/>
              <w:bottom w:val="single" w:sz="2" w:space="0" w:color="auto"/>
              <w:right w:val="single" w:sz="2" w:space="0" w:color="auto"/>
            </w:tcBorders>
            <w:shd w:val="clear" w:color="auto" w:fill="D3D3D3"/>
            <w:vAlign w:val="center"/>
            <w:hideMark/>
          </w:tcPr>
          <w:p w:rsidR="00BE788E" w:rsidRPr="005F7252" w:rsidRDefault="00BE788E">
            <w:pPr>
              <w:rPr>
                <w:rFonts w:asciiTheme="minorEastAsia" w:hAnsiTheme="minorEastAsia" w:cs="宋体"/>
                <w:sz w:val="18"/>
                <w:szCs w:val="18"/>
              </w:rPr>
            </w:pPr>
            <w:r w:rsidRPr="005F7252">
              <w:rPr>
                <w:rFonts w:asciiTheme="minorEastAsia" w:hAnsiTheme="minorEastAsia" w:hint="eastAsia"/>
                <w:sz w:val="18"/>
                <w:szCs w:val="18"/>
              </w:rPr>
              <w:t>合计 </w:t>
            </w:r>
          </w:p>
        </w:tc>
        <w:tc>
          <w:tcPr>
            <w:tcW w:w="3964" w:type="dxa"/>
            <w:tcBorders>
              <w:top w:val="nil"/>
              <w:left w:val="single" w:sz="2" w:space="0" w:color="auto"/>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52,789,991.86</w:t>
            </w:r>
          </w:p>
        </w:tc>
        <w:tc>
          <w:tcPr>
            <w:tcW w:w="3965" w:type="dxa"/>
            <w:tcBorders>
              <w:top w:val="nil"/>
              <w:left w:val="nil"/>
              <w:bottom w:val="single" w:sz="8" w:space="0" w:color="auto"/>
              <w:right w:val="single" w:sz="8" w:space="0" w:color="auto"/>
            </w:tcBorders>
            <w:vAlign w:val="center"/>
            <w:hideMark/>
          </w:tcPr>
          <w:p w:rsidR="00BE788E" w:rsidRPr="00BE788E" w:rsidRDefault="00BE788E">
            <w:pPr>
              <w:jc w:val="right"/>
              <w:rPr>
                <w:rFonts w:asciiTheme="minorEastAsia" w:hAnsiTheme="minorEastAsia" w:cs="Times New Roman"/>
                <w:sz w:val="18"/>
                <w:szCs w:val="18"/>
              </w:rPr>
            </w:pPr>
            <w:r>
              <w:rPr>
                <w:rFonts w:asciiTheme="minorEastAsia" w:hAnsiTheme="minorEastAsia" w:cs="Times New Roman"/>
                <w:sz w:val="18"/>
                <w:szCs w:val="18"/>
              </w:rPr>
              <w:t>             </w:t>
            </w:r>
            <w:r w:rsidRPr="00BE788E">
              <w:rPr>
                <w:rFonts w:asciiTheme="minorEastAsia" w:hAnsiTheme="minorEastAsia" w:cs="Times New Roman"/>
                <w:sz w:val="18"/>
                <w:szCs w:val="18"/>
              </w:rPr>
              <w:t>  69,697,200.52</w:t>
            </w:r>
          </w:p>
        </w:tc>
      </w:tr>
    </w:tbl>
    <w:p w:rsidR="00037019" w:rsidRDefault="00BE788E">
      <w:pPr>
        <w:pStyle w:val="3"/>
        <w:spacing w:line="280" w:lineRule="exact"/>
        <w:jc w:val="left"/>
        <w:rPr>
          <w:rFonts w:ascii="宋体" w:hAnsi="宋体" w:cs="宋体"/>
          <w:b/>
          <w:bCs/>
        </w:rPr>
      </w:pPr>
      <w:bookmarkStart w:id="21" w:name="_Toc988910"/>
      <w:r>
        <w:rPr>
          <w:rFonts w:ascii="宋体" w:hAnsi="宋体" w:cs="宋体"/>
          <w:b/>
          <w:bCs/>
        </w:rPr>
        <w:t>4、加盟、分销</w:t>
      </w:r>
      <w:bookmarkEnd w:id="2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加盟商、分销商实现销售收入占比超过30%</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3"/>
        <w:spacing w:line="280" w:lineRule="exact"/>
        <w:jc w:val="left"/>
        <w:rPr>
          <w:rFonts w:ascii="宋体" w:hAnsi="宋体" w:cs="宋体"/>
          <w:b/>
          <w:bCs/>
        </w:rPr>
      </w:pPr>
      <w:bookmarkStart w:id="22" w:name="_Toc988911"/>
      <w:r>
        <w:rPr>
          <w:rFonts w:ascii="宋体" w:hAnsi="宋体" w:cs="宋体"/>
          <w:b/>
          <w:bCs/>
        </w:rPr>
        <w:t>5、线上销售</w:t>
      </w:r>
      <w:bookmarkEnd w:id="2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线上销售实现销售收入占比超过30%</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是否自建销售平台</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是否与第三</w:t>
      </w:r>
      <w:proofErr w:type="gramStart"/>
      <w:r>
        <w:rPr>
          <w:rFonts w:ascii="宋体" w:eastAsia="宋体" w:hAnsi="宋体" w:cs="宋体"/>
          <w:sz w:val="18"/>
          <w:szCs w:val="18"/>
        </w:rPr>
        <w:t>方销售</w:t>
      </w:r>
      <w:proofErr w:type="gramEnd"/>
      <w:r>
        <w:rPr>
          <w:rFonts w:ascii="宋体" w:eastAsia="宋体" w:hAnsi="宋体" w:cs="宋体"/>
          <w:sz w:val="18"/>
          <w:szCs w:val="18"/>
        </w:rPr>
        <w:t>平台合作</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平台名称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报告期内的交易金额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退货率</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阿里巴巴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2,458,968.56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抖音</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5,138,220.19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得物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6,549,142.23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拼多多</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2,475,554.62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天猫</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25,024,505.85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唯品会</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9,255,174.83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天猫超市</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995,384.76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京东</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1,193,752.61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763A7A">
            <w:pPr>
              <w:spacing w:line="240" w:lineRule="exact"/>
              <w:jc w:val="right"/>
              <w:rPr>
                <w:rFonts w:ascii="宋体" w:eastAsia="宋体" w:hAnsi="宋体" w:cs="宋体"/>
                <w:sz w:val="18"/>
                <w:szCs w:val="18"/>
              </w:rPr>
            </w:pPr>
            <w:r>
              <w:rPr>
                <w:rFonts w:ascii="宋体" w:eastAsia="宋体" w:hAnsi="宋体" w:cs="宋体" w:hint="eastAsia"/>
                <w:sz w:val="18"/>
                <w:szCs w:val="18"/>
              </w:rPr>
              <w:t>1.00</w:t>
            </w:r>
            <w:r w:rsidR="00BE788E">
              <w:rPr>
                <w:rFonts w:ascii="宋体" w:eastAsia="宋体" w:hAnsi="宋体" w:cs="宋体"/>
                <w:sz w:val="18"/>
                <w:szCs w:val="18"/>
              </w:rPr>
              <w:t>%</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壹品仓</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330,901.45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小红书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195,656.71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快手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73,331.81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好衣库</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29.20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虎牙</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爱库存</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东方甄选</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740.73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940A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53,713,413.11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公司开设或关闭线上销售渠道</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3" w:name="_Toc988912"/>
      <w:r>
        <w:rPr>
          <w:rFonts w:ascii="宋体" w:hAnsi="宋体" w:cs="宋体"/>
          <w:b/>
          <w:bCs/>
        </w:rPr>
        <w:t>6、代运营模式</w:t>
      </w:r>
      <w:bookmarkEnd w:id="2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是否涉及代运营模式</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3"/>
        <w:spacing w:line="280" w:lineRule="exact"/>
        <w:jc w:val="left"/>
        <w:rPr>
          <w:rFonts w:ascii="宋体" w:hAnsi="宋体" w:cs="宋体"/>
          <w:b/>
          <w:bCs/>
        </w:rPr>
      </w:pPr>
      <w:bookmarkStart w:id="24" w:name="_Toc988913"/>
      <w:r>
        <w:rPr>
          <w:rFonts w:ascii="宋体" w:hAnsi="宋体" w:cs="宋体"/>
          <w:b/>
          <w:bCs/>
        </w:rPr>
        <w:t>7、存货情况</w:t>
      </w:r>
      <w:bookmarkEnd w:id="24"/>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存货情况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09"/>
        <w:gridCol w:w="1403"/>
        <w:gridCol w:w="1606"/>
        <w:gridCol w:w="1607"/>
        <w:gridCol w:w="1607"/>
        <w:gridCol w:w="1607"/>
      </w:tblGrid>
      <w:tr w:rsidR="00037019" w:rsidTr="00BE788E">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主要产品</w:t>
            </w:r>
          </w:p>
        </w:tc>
        <w:tc>
          <w:tcPr>
            <w:tcW w:w="14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存货周转天数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存货数量</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存货库龄</w:t>
            </w:r>
            <w:proofErr w:type="gramEnd"/>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存货余额同比增减情况</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037019" w:rsidTr="00BE788E">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纱线（吨）</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BE788E">
            <w:pPr>
              <w:spacing w:line="240" w:lineRule="exact"/>
              <w:jc w:val="right"/>
              <w:rPr>
                <w:rFonts w:ascii="宋体" w:eastAsia="宋体" w:hAnsi="宋体" w:cs="宋体"/>
                <w:sz w:val="18"/>
                <w:szCs w:val="18"/>
              </w:rPr>
            </w:pPr>
            <w:r>
              <w:rPr>
                <w:rFonts w:ascii="宋体" w:eastAsia="宋体" w:hAnsi="宋体" w:cs="宋体"/>
                <w:sz w:val="18"/>
                <w:szCs w:val="18"/>
              </w:rPr>
              <w:t>75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rsidP="00BE788E">
            <w:pPr>
              <w:spacing w:line="240" w:lineRule="exact"/>
              <w:jc w:val="right"/>
              <w:rPr>
                <w:rFonts w:ascii="宋体" w:eastAsia="宋体" w:hAnsi="宋体" w:cs="宋体"/>
                <w:sz w:val="18"/>
                <w:szCs w:val="18"/>
              </w:rPr>
            </w:pPr>
            <w:r>
              <w:rPr>
                <w:rFonts w:ascii="宋体" w:eastAsia="宋体" w:hAnsi="宋体" w:cs="宋体"/>
                <w:sz w:val="18"/>
                <w:szCs w:val="18"/>
              </w:rPr>
              <w:t>69,679.00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rsidP="00BE788E">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rsidP="00BE788E">
            <w:pPr>
              <w:spacing w:line="240" w:lineRule="exact"/>
              <w:jc w:val="right"/>
              <w:rPr>
                <w:rFonts w:ascii="宋体" w:eastAsia="宋体" w:hAnsi="宋体" w:cs="宋体"/>
                <w:sz w:val="18"/>
                <w:szCs w:val="18"/>
              </w:rPr>
            </w:pPr>
            <w:r>
              <w:rPr>
                <w:rFonts w:ascii="宋体" w:eastAsia="宋体" w:hAnsi="宋体" w:cs="宋体"/>
                <w:sz w:val="18"/>
                <w:szCs w:val="18"/>
              </w:rPr>
              <w:t>17.20%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rsidP="00BE788E">
            <w:pPr>
              <w:spacing w:line="240" w:lineRule="exact"/>
              <w:jc w:val="right"/>
              <w:rPr>
                <w:rFonts w:ascii="宋体" w:eastAsia="宋体" w:hAnsi="宋体" w:cs="宋体"/>
                <w:sz w:val="18"/>
                <w:szCs w:val="18"/>
              </w:rPr>
            </w:pPr>
          </w:p>
        </w:tc>
      </w:tr>
      <w:tr w:rsidR="00037019" w:rsidTr="00BE788E">
        <w:trPr>
          <w:trHeight w:val="240"/>
        </w:trPr>
        <w:tc>
          <w:tcPr>
            <w:tcW w:w="18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原棉、色</w:t>
            </w:r>
            <w:proofErr w:type="gramStart"/>
            <w:r>
              <w:rPr>
                <w:rFonts w:ascii="宋体" w:eastAsia="宋体" w:hAnsi="宋体" w:cs="宋体"/>
                <w:sz w:val="18"/>
                <w:szCs w:val="18"/>
              </w:rPr>
              <w:t>纤</w:t>
            </w:r>
            <w:proofErr w:type="gramEnd"/>
            <w:r>
              <w:rPr>
                <w:rFonts w:ascii="宋体" w:eastAsia="宋体" w:hAnsi="宋体" w:cs="宋体"/>
                <w:sz w:val="18"/>
                <w:szCs w:val="18"/>
              </w:rPr>
              <w:t>（吨）</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BE788E">
            <w:pPr>
              <w:spacing w:line="240" w:lineRule="exact"/>
              <w:jc w:val="right"/>
              <w:rPr>
                <w:rFonts w:ascii="宋体" w:eastAsia="宋体" w:hAnsi="宋体" w:cs="宋体"/>
                <w:sz w:val="18"/>
                <w:szCs w:val="18"/>
              </w:rPr>
            </w:pPr>
            <w:r>
              <w:rPr>
                <w:rFonts w:ascii="宋体" w:eastAsia="宋体" w:hAnsi="宋体" w:cs="宋体"/>
                <w:sz w:val="18"/>
                <w:szCs w:val="18"/>
              </w:rPr>
              <w:t>65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rsidP="00BE788E">
            <w:pPr>
              <w:spacing w:line="240" w:lineRule="exact"/>
              <w:jc w:val="right"/>
              <w:rPr>
                <w:rFonts w:ascii="宋体" w:eastAsia="宋体" w:hAnsi="宋体" w:cs="宋体"/>
                <w:sz w:val="18"/>
                <w:szCs w:val="18"/>
              </w:rPr>
            </w:pPr>
            <w:r>
              <w:rPr>
                <w:rFonts w:ascii="宋体" w:eastAsia="宋体" w:hAnsi="宋体" w:cs="宋体"/>
                <w:sz w:val="18"/>
                <w:szCs w:val="18"/>
              </w:rPr>
              <w:t>62,435.19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rsidP="00BE788E">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rsidP="00BE788E">
            <w:pPr>
              <w:spacing w:line="240" w:lineRule="exact"/>
              <w:jc w:val="right"/>
              <w:rPr>
                <w:rFonts w:ascii="宋体" w:eastAsia="宋体" w:hAnsi="宋体" w:cs="宋体"/>
                <w:sz w:val="18"/>
                <w:szCs w:val="18"/>
              </w:rPr>
            </w:pPr>
            <w:r>
              <w:rPr>
                <w:rFonts w:ascii="宋体" w:eastAsia="宋体" w:hAnsi="宋体" w:cs="宋体"/>
                <w:sz w:val="18"/>
                <w:szCs w:val="18"/>
              </w:rPr>
              <w:t>21.88%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rsidP="00BE788E">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存货跌价准备的计提情况</w:t>
      </w:r>
    </w:p>
    <w:p w:rsidR="00BE788E" w:rsidRDefault="00BE788E">
      <w:pPr>
        <w:pStyle w:val="a3"/>
        <w:divId w:val="606667851"/>
        <w:rPr>
          <w:sz w:val="18"/>
          <w:szCs w:val="18"/>
        </w:rPr>
      </w:pPr>
      <w:r>
        <w:rPr>
          <w:rFonts w:hint="eastAsia"/>
          <w:sz w:val="18"/>
          <w:szCs w:val="18"/>
        </w:rPr>
        <w:t>详见附注第十节</w:t>
      </w:r>
      <w:r w:rsidR="00763A7A">
        <w:rPr>
          <w:rFonts w:hint="eastAsia"/>
          <w:sz w:val="18"/>
          <w:szCs w:val="18"/>
        </w:rPr>
        <w:t>七</w:t>
      </w:r>
      <w:proofErr w:type="gramStart"/>
      <w:r>
        <w:rPr>
          <w:rFonts w:hint="eastAsia"/>
          <w:sz w:val="18"/>
          <w:szCs w:val="18"/>
        </w:rPr>
        <w:t>10</w:t>
      </w:r>
      <w:proofErr w:type="gramEnd"/>
      <w:r w:rsidR="0004321C">
        <w:rPr>
          <w:rFonts w:hint="eastAsia"/>
          <w:sz w:val="18"/>
          <w:szCs w:val="18"/>
        </w:rPr>
        <w:t>.</w:t>
      </w:r>
      <w:r>
        <w:rPr>
          <w:rFonts w:hint="eastAsia"/>
          <w:sz w:val="18"/>
          <w:szCs w:val="18"/>
        </w:rPr>
        <w:t>存货</w:t>
      </w:r>
    </w:p>
    <w:p w:rsidR="00037019" w:rsidRDefault="00BE788E">
      <w:pPr>
        <w:pStyle w:val="3"/>
        <w:spacing w:line="280" w:lineRule="exact"/>
        <w:jc w:val="left"/>
        <w:rPr>
          <w:rFonts w:ascii="宋体" w:hAnsi="宋体" w:cs="宋体"/>
          <w:b/>
          <w:bCs/>
        </w:rPr>
      </w:pPr>
      <w:bookmarkStart w:id="25" w:name="_Toc988914"/>
      <w:r>
        <w:rPr>
          <w:rFonts w:ascii="宋体" w:hAnsi="宋体" w:cs="宋体"/>
          <w:b/>
          <w:bCs/>
        </w:rPr>
        <w:t>8、品牌建设情况</w:t>
      </w:r>
      <w:bookmarkEnd w:id="2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公司是否涉及生产和销售品牌服装、服饰以及家纺产品</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自有品牌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37019">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r>
      <w:tr w:rsidR="00037019" w:rsidTr="003940A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carmalla</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carmalla</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时尚可爱</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37019" w:rsidTr="003940A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isku</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isku</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酷潮</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男女</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50-80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37019" w:rsidTr="003940A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ilooklike</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ilooklike</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基础简约</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37019" w:rsidTr="003940A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caramellakkids</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caramellakkids</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童袜</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可爱卡通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37019" w:rsidTr="003940A7">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整季</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整季</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基础量贩</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男女</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一二三四线城市</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合作品牌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4"/>
        <w:gridCol w:w="804"/>
        <w:gridCol w:w="804"/>
        <w:gridCol w:w="803"/>
        <w:gridCol w:w="803"/>
        <w:gridCol w:w="803"/>
        <w:gridCol w:w="803"/>
        <w:gridCol w:w="803"/>
        <w:gridCol w:w="803"/>
        <w:gridCol w:w="803"/>
        <w:gridCol w:w="803"/>
        <w:gridCol w:w="803"/>
      </w:tblGrid>
      <w:tr w:rsidR="00037019">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品牌及商标权权属</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合作期限</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屈臣氏</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屈臣氏</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屈臣氏</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酷乐潮袜</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酷乐潮袜</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男女</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酷乐潮袜</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伶俐饰品</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伶俐饰品</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伶俐饰品</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果壳</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果壳</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20-40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果壳</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儿童</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20-40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孩子王</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20-40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热风时尚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巴</w:t>
            </w:r>
            <w:proofErr w:type="gramStart"/>
            <w:r>
              <w:rPr>
                <w:rFonts w:ascii="宋体" w:eastAsia="宋体" w:hAnsi="宋体" w:cs="宋体"/>
                <w:sz w:val="18"/>
                <w:szCs w:val="18"/>
              </w:rPr>
              <w:t>拉巴拉</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巴</w:t>
            </w:r>
            <w:proofErr w:type="gramStart"/>
            <w:r>
              <w:rPr>
                <w:rFonts w:ascii="宋体" w:eastAsia="宋体" w:hAnsi="宋体" w:cs="宋体"/>
                <w:sz w:val="18"/>
                <w:szCs w:val="18"/>
              </w:rPr>
              <w:t>拉巴拉</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巴</w:t>
            </w:r>
            <w:proofErr w:type="gramStart"/>
            <w:r>
              <w:rPr>
                <w:rFonts w:ascii="宋体" w:eastAsia="宋体" w:hAnsi="宋体" w:cs="宋体"/>
                <w:sz w:val="18"/>
                <w:szCs w:val="18"/>
              </w:rPr>
              <w:t>拉巴拉</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微原（浙江）商业贸易有限公司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艾诗塔品</w:t>
            </w:r>
            <w:r>
              <w:rPr>
                <w:rFonts w:ascii="宋体" w:eastAsia="宋体" w:hAnsi="宋体" w:cs="宋体"/>
                <w:sz w:val="18"/>
                <w:szCs w:val="18"/>
              </w:rPr>
              <w:lastRenderedPageBreak/>
              <w:t>牌</w:t>
            </w:r>
            <w:proofErr w:type="gramEnd"/>
            <w:r>
              <w:rPr>
                <w:rFonts w:ascii="宋体" w:eastAsia="宋体" w:hAnsi="宋体" w:cs="宋体"/>
                <w:sz w:val="18"/>
                <w:szCs w:val="18"/>
              </w:rPr>
              <w:t>管理有限公司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乎兮</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成人</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苏州美山子制衣有限公司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汕头市</w:t>
            </w:r>
            <w:proofErr w:type="gramStart"/>
            <w:r>
              <w:rPr>
                <w:rFonts w:ascii="宋体" w:eastAsia="宋体" w:hAnsi="宋体" w:cs="宋体"/>
                <w:sz w:val="18"/>
                <w:szCs w:val="18"/>
              </w:rPr>
              <w:t>婷</w:t>
            </w:r>
            <w:proofErr w:type="gramEnd"/>
            <w:r>
              <w:rPr>
                <w:rFonts w:ascii="宋体" w:eastAsia="宋体" w:hAnsi="宋体" w:cs="宋体"/>
                <w:sz w:val="18"/>
                <w:szCs w:val="18"/>
              </w:rPr>
              <w:t>媚内衣实业有限公司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CA-广东纯棉居物医疗科技有限公司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男性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欧度控股</w:t>
            </w:r>
            <w:proofErr w:type="gramEnd"/>
            <w:r>
              <w:rPr>
                <w:rFonts w:ascii="宋体" w:eastAsia="宋体" w:hAnsi="宋体" w:cs="宋体"/>
                <w:sz w:val="18"/>
                <w:szCs w:val="18"/>
              </w:rPr>
              <w:t>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ODM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r w:rsidR="00037019" w:rsidTr="003940A7">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盒马</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盒马</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盒马</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OEM</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长期</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被授权品牌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授权方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授权期限</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是否为独家授权</w:t>
            </w:r>
          </w:p>
        </w:tc>
      </w:tr>
      <w:tr w:rsidR="00037019" w:rsidTr="003940A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3年</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r>
      <w:tr w:rsidR="00037019" w:rsidTr="003940A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迪</w:t>
            </w:r>
            <w:proofErr w:type="gramEnd"/>
            <w:r>
              <w:rPr>
                <w:rFonts w:ascii="宋体" w:eastAsia="宋体" w:hAnsi="宋体" w:cs="宋体"/>
                <w:sz w:val="18"/>
                <w:szCs w:val="18"/>
              </w:rPr>
              <w:t>士尼</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Disney</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女性</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30-60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全国</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1年</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报告期内各品牌的营销与运营</w:t>
      </w:r>
    </w:p>
    <w:p w:rsidR="00BE788E" w:rsidRDefault="00BE788E">
      <w:pPr>
        <w:pStyle w:val="a3"/>
        <w:divId w:val="1418749777"/>
        <w:rPr>
          <w:sz w:val="18"/>
          <w:szCs w:val="18"/>
        </w:rPr>
      </w:pP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涉及商标权属纠纷等情况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6" w:name="_Toc988915"/>
      <w:r>
        <w:rPr>
          <w:rFonts w:ascii="宋体" w:hAnsi="宋体" w:cs="宋体"/>
          <w:b/>
          <w:bCs/>
        </w:rPr>
        <w:t>9、其他</w:t>
      </w:r>
      <w:bookmarkEnd w:id="2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公司是否从事服装设计相关业务</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802"/>
        <w:gridCol w:w="2279"/>
        <w:gridCol w:w="2279"/>
        <w:gridCol w:w="2279"/>
      </w:tblGrid>
      <w:tr w:rsidR="00037019" w:rsidTr="00BE788E">
        <w:trPr>
          <w:trHeight w:val="24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自有的服装设计师数量</w:t>
            </w:r>
          </w:p>
        </w:tc>
        <w:tc>
          <w:tcPr>
            <w:tcW w:w="227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w:t>
            </w:r>
          </w:p>
        </w:tc>
        <w:tc>
          <w:tcPr>
            <w:tcW w:w="227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签约的服装设计师数量</w:t>
            </w:r>
          </w:p>
        </w:tc>
        <w:tc>
          <w:tcPr>
            <w:tcW w:w="227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w:t>
            </w:r>
          </w:p>
        </w:tc>
      </w:tr>
      <w:tr w:rsidR="00037019" w:rsidTr="00BE788E">
        <w:trPr>
          <w:trHeight w:val="240"/>
        </w:trPr>
        <w:tc>
          <w:tcPr>
            <w:tcW w:w="280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搭建的设计师平台的运营情况</w:t>
            </w:r>
          </w:p>
        </w:tc>
        <w:tc>
          <w:tcPr>
            <w:tcW w:w="6837"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良好</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公司是否举办订货会</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2"/>
        <w:spacing w:before="300" w:after="300" w:line="320" w:lineRule="exact"/>
        <w:rPr>
          <w:rFonts w:ascii="宋体" w:eastAsia="宋体" w:hAnsi="宋体" w:cs="宋体"/>
          <w:b/>
          <w:bCs/>
          <w:sz w:val="24"/>
          <w:szCs w:val="24"/>
        </w:rPr>
      </w:pPr>
      <w:bookmarkStart w:id="27" w:name="_Toc988916"/>
      <w:r>
        <w:rPr>
          <w:rFonts w:ascii="宋体" w:eastAsia="宋体" w:hAnsi="宋体" w:cs="宋体"/>
          <w:b/>
          <w:bCs/>
          <w:sz w:val="24"/>
          <w:szCs w:val="24"/>
        </w:rPr>
        <w:t>五、非主营业务分析</w:t>
      </w:r>
      <w:bookmarkEnd w:id="2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2122"/>
        <w:gridCol w:w="1734"/>
      </w:tblGrid>
      <w:tr w:rsidR="00037019" w:rsidTr="00BE788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占利润总额比例</w:t>
            </w:r>
          </w:p>
        </w:tc>
        <w:tc>
          <w:tcPr>
            <w:tcW w:w="212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形成原因说明</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是否具有可持续性</w:t>
            </w:r>
          </w:p>
        </w:tc>
      </w:tr>
      <w:tr w:rsidR="00037019" w:rsidTr="00BE788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投资收益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35.14%</w:t>
            </w:r>
          </w:p>
        </w:tc>
        <w:tc>
          <w:tcPr>
            <w:tcW w:w="212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主要系棉花期货产生的收益和理财收益所致。</w:t>
            </w: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否</w:t>
            </w:r>
          </w:p>
        </w:tc>
      </w:tr>
      <w:tr w:rsidR="00037019" w:rsidTr="00BE788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公允价值变动损益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4.93%</w:t>
            </w:r>
          </w:p>
        </w:tc>
        <w:tc>
          <w:tcPr>
            <w:tcW w:w="212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否</w:t>
            </w:r>
          </w:p>
        </w:tc>
      </w:tr>
      <w:tr w:rsidR="00037019" w:rsidTr="00BE788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资产减值</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-3.47%</w:t>
            </w:r>
          </w:p>
        </w:tc>
        <w:tc>
          <w:tcPr>
            <w:tcW w:w="212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否</w:t>
            </w:r>
          </w:p>
        </w:tc>
      </w:tr>
      <w:tr w:rsidR="00037019" w:rsidTr="00BE788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营业外收入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w:t>
            </w:r>
          </w:p>
        </w:tc>
        <w:tc>
          <w:tcPr>
            <w:tcW w:w="212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否</w:t>
            </w:r>
          </w:p>
        </w:tc>
      </w:tr>
      <w:tr w:rsidR="00037019" w:rsidTr="00BE788E">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营业外支出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w:t>
            </w:r>
          </w:p>
        </w:tc>
        <w:tc>
          <w:tcPr>
            <w:tcW w:w="212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否</w:t>
            </w:r>
          </w:p>
        </w:tc>
      </w:tr>
    </w:tbl>
    <w:p w:rsidR="00037019" w:rsidRDefault="00BE788E">
      <w:pPr>
        <w:pStyle w:val="2"/>
        <w:spacing w:before="300" w:after="300" w:line="320" w:lineRule="exact"/>
        <w:rPr>
          <w:rFonts w:ascii="宋体" w:eastAsia="宋体" w:hAnsi="宋体" w:cs="宋体"/>
          <w:b/>
          <w:bCs/>
          <w:sz w:val="24"/>
          <w:szCs w:val="24"/>
        </w:rPr>
      </w:pPr>
      <w:bookmarkStart w:id="28" w:name="_Toc988917"/>
      <w:r>
        <w:rPr>
          <w:rFonts w:ascii="宋体" w:eastAsia="宋体" w:hAnsi="宋体" w:cs="宋体"/>
          <w:b/>
          <w:bCs/>
          <w:sz w:val="24"/>
          <w:szCs w:val="24"/>
        </w:rPr>
        <w:t>六、资产及负债状况分析</w:t>
      </w:r>
      <w:bookmarkEnd w:id="28"/>
    </w:p>
    <w:p w:rsidR="00037019" w:rsidRDefault="00BE788E">
      <w:pPr>
        <w:pStyle w:val="3"/>
        <w:spacing w:line="280" w:lineRule="exact"/>
        <w:jc w:val="left"/>
        <w:rPr>
          <w:rFonts w:ascii="宋体" w:hAnsi="宋体" w:cs="宋体"/>
          <w:b/>
          <w:bCs/>
        </w:rPr>
      </w:pPr>
      <w:bookmarkStart w:id="29" w:name="_Toc988918"/>
      <w:r>
        <w:rPr>
          <w:rFonts w:ascii="宋体" w:hAnsi="宋体" w:cs="宋体"/>
          <w:b/>
          <w:bCs/>
        </w:rPr>
        <w:t>1、资产构成重大变动情况</w:t>
      </w:r>
      <w:bookmarkEnd w:id="2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708"/>
        <w:gridCol w:w="1418"/>
        <w:gridCol w:w="1842"/>
        <w:gridCol w:w="1418"/>
        <w:gridCol w:w="992"/>
        <w:gridCol w:w="884"/>
      </w:tblGrid>
      <w:tr w:rsidR="00037019" w:rsidTr="00BE788E">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12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326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上年末</w:t>
            </w:r>
          </w:p>
        </w:tc>
        <w:tc>
          <w:tcPr>
            <w:tcW w:w="99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比重增减</w:t>
            </w:r>
          </w:p>
        </w:tc>
        <w:tc>
          <w:tcPr>
            <w:tcW w:w="88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重大变动说明</w:t>
            </w:r>
          </w:p>
        </w:tc>
      </w:tr>
      <w:tr w:rsidR="00037019" w:rsidTr="00BE788E">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99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8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3,756,552,002.18</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21.37%</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15.47%</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5.02%</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5.89%</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-0.87%</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存货</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3,703,758,541.86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21.07%</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29.38%</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投资性房地产</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0.70%</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0.78%</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-0.08%</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长期股权投资</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4,584,909,993.97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26.08%</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27.44%</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4.28%</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使用权资产</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22,833,457.37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0.13%</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27,243,799.27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短期借款</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8,095,382,059.78</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46.06%</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41.57%</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4.49%</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合同负债</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-1.62%</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850,041,412.46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4.84%</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0.58%</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BE788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租赁负债</w:t>
            </w:r>
          </w:p>
        </w:tc>
        <w:tc>
          <w:tcPr>
            <w:tcW w:w="17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18,049,357.94</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0.10%</w:t>
            </w:r>
          </w:p>
        </w:tc>
        <w:tc>
          <w:tcPr>
            <w:tcW w:w="184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bl>
    <w:p w:rsidR="00037019" w:rsidRDefault="00BE788E">
      <w:pPr>
        <w:pStyle w:val="3"/>
        <w:spacing w:line="280" w:lineRule="exact"/>
        <w:jc w:val="left"/>
        <w:rPr>
          <w:rFonts w:ascii="宋体" w:hAnsi="宋体" w:cs="宋体"/>
          <w:b/>
          <w:bCs/>
        </w:rPr>
      </w:pPr>
      <w:bookmarkStart w:id="30" w:name="_Toc988919"/>
      <w:r>
        <w:rPr>
          <w:rFonts w:ascii="宋体" w:hAnsi="宋体" w:cs="宋体"/>
          <w:b/>
          <w:bCs/>
        </w:rPr>
        <w:t>2、主要境外资产情况</w:t>
      </w:r>
      <w:bookmarkEnd w:id="30"/>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1" w:name="_Toc988920"/>
      <w:r>
        <w:rPr>
          <w:rFonts w:ascii="宋体" w:hAnsi="宋体" w:cs="宋体"/>
          <w:b/>
          <w:bCs/>
        </w:rPr>
        <w:t>3、以公允价值计量的资产和负债</w:t>
      </w:r>
      <w:bookmarkEnd w:id="3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本期计提的减值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本期购买金额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本期出售金额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期末数</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金融资产</w:t>
            </w:r>
          </w:p>
        </w:tc>
        <w:tc>
          <w:tcPr>
            <w:tcW w:w="8568"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2.衍生金融资产</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121,648,424.05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3,215,333.88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107,591,485.87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106,157,871.99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4.其他权</w:t>
            </w:r>
            <w:r>
              <w:rPr>
                <w:rFonts w:ascii="宋体" w:eastAsia="宋体" w:hAnsi="宋体" w:cs="宋体"/>
                <w:sz w:val="18"/>
                <w:szCs w:val="18"/>
              </w:rPr>
              <w:lastRenderedPageBreak/>
              <w:t>益工具投资</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54,754,74</w:t>
            </w:r>
            <w:r>
              <w:rPr>
                <w:rFonts w:ascii="宋体" w:eastAsia="宋体" w:hAnsi="宋体" w:cs="宋体"/>
                <w:sz w:val="18"/>
                <w:szCs w:val="18"/>
              </w:rPr>
              <w:lastRenderedPageBreak/>
              <w:t>6.91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w:t>
            </w:r>
            <w:r>
              <w:rPr>
                <w:rFonts w:ascii="宋体" w:eastAsia="宋体" w:hAnsi="宋体" w:cs="宋体"/>
                <w:sz w:val="18"/>
                <w:szCs w:val="18"/>
              </w:rPr>
              <w:lastRenderedPageBreak/>
              <w:t>.68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55,843,10</w:t>
            </w:r>
            <w:r>
              <w:rPr>
                <w:rFonts w:ascii="宋体" w:eastAsia="宋体" w:hAnsi="宋体" w:cs="宋体"/>
                <w:sz w:val="18"/>
                <w:szCs w:val="18"/>
              </w:rPr>
              <w:lastRenderedPageBreak/>
              <w:t>5.59</w:t>
            </w:r>
          </w:p>
        </w:tc>
      </w:tr>
      <w:tr w:rsidR="00037019" w:rsidTr="00BE788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金融资产小计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176,403,170.96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3,215,333.88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107,591,485.87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106,157,871.99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182,140,477.40</w:t>
            </w:r>
          </w:p>
        </w:tc>
      </w:tr>
      <w:tr w:rsidR="00037019" w:rsidTr="00BE788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59,592,743.55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78,227.04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308,044,907.37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262,910,000.00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104,805,877.96</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上述合计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235,995,914.51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415,636,393.24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369,067,871.99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286,946,355.36</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金融负债</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报告期内公司主要资产计量属性是否发生重大变化</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3"/>
        <w:spacing w:line="280" w:lineRule="exact"/>
        <w:jc w:val="left"/>
        <w:rPr>
          <w:rFonts w:ascii="宋体" w:hAnsi="宋体" w:cs="宋体"/>
          <w:b/>
          <w:bCs/>
        </w:rPr>
      </w:pPr>
      <w:bookmarkStart w:id="32" w:name="_Toc988921"/>
      <w:r>
        <w:rPr>
          <w:rFonts w:ascii="宋体" w:hAnsi="宋体" w:cs="宋体"/>
          <w:b/>
          <w:bCs/>
        </w:rPr>
        <w:t>4、截至报告期末的资产权利受限情况</w:t>
      </w:r>
      <w:bookmarkEnd w:id="32"/>
    </w:p>
    <w:p w:rsidR="00BE788E" w:rsidRDefault="00BE788E">
      <w:pPr>
        <w:pStyle w:val="a3"/>
        <w:divId w:val="335766252"/>
        <w:rPr>
          <w:sz w:val="18"/>
          <w:szCs w:val="18"/>
        </w:rPr>
      </w:pPr>
      <w:r>
        <w:rPr>
          <w:rFonts w:hint="eastAsia"/>
          <w:sz w:val="18"/>
          <w:szCs w:val="18"/>
        </w:rPr>
        <w:t>详见附注第十节七</w:t>
      </w:r>
      <w:proofErr w:type="gramStart"/>
      <w:r>
        <w:rPr>
          <w:rFonts w:hint="eastAsia"/>
          <w:sz w:val="18"/>
          <w:szCs w:val="18"/>
        </w:rPr>
        <w:t>31</w:t>
      </w:r>
      <w:proofErr w:type="gramEnd"/>
      <w:r w:rsidR="0004321C">
        <w:rPr>
          <w:rFonts w:hint="eastAsia"/>
          <w:sz w:val="18"/>
          <w:szCs w:val="18"/>
        </w:rPr>
        <w:t>.</w:t>
      </w:r>
      <w:r>
        <w:rPr>
          <w:rFonts w:hint="eastAsia"/>
          <w:sz w:val="18"/>
          <w:szCs w:val="18"/>
        </w:rPr>
        <w:t>所有权或使用权受到限制的资产。</w:t>
      </w:r>
    </w:p>
    <w:p w:rsidR="00037019" w:rsidRDefault="00BE788E">
      <w:pPr>
        <w:pStyle w:val="2"/>
        <w:spacing w:before="300" w:after="300" w:line="320" w:lineRule="exact"/>
        <w:rPr>
          <w:rFonts w:ascii="宋体" w:eastAsia="宋体" w:hAnsi="宋体" w:cs="宋体"/>
          <w:b/>
          <w:bCs/>
          <w:sz w:val="24"/>
          <w:szCs w:val="24"/>
        </w:rPr>
      </w:pPr>
      <w:bookmarkStart w:id="33" w:name="_Toc988922"/>
      <w:r>
        <w:rPr>
          <w:rFonts w:ascii="宋体" w:eastAsia="宋体" w:hAnsi="宋体" w:cs="宋体"/>
          <w:b/>
          <w:bCs/>
          <w:sz w:val="24"/>
          <w:szCs w:val="24"/>
        </w:rPr>
        <w:t>七、投资状况分析</w:t>
      </w:r>
      <w:bookmarkEnd w:id="33"/>
    </w:p>
    <w:p w:rsidR="00037019" w:rsidRDefault="00BE788E">
      <w:pPr>
        <w:pStyle w:val="3"/>
        <w:spacing w:line="280" w:lineRule="exact"/>
        <w:jc w:val="left"/>
        <w:rPr>
          <w:rFonts w:ascii="宋体" w:hAnsi="宋体" w:cs="宋体"/>
          <w:b/>
          <w:bCs/>
        </w:rPr>
      </w:pPr>
      <w:bookmarkStart w:id="34" w:name="_Toc988923"/>
      <w:r>
        <w:rPr>
          <w:rFonts w:ascii="宋体" w:hAnsi="宋体" w:cs="宋体"/>
          <w:b/>
          <w:bCs/>
        </w:rPr>
        <w:t>1、总体情况</w:t>
      </w:r>
      <w:bookmarkEnd w:id="34"/>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5" w:name="_Toc988924"/>
      <w:r>
        <w:rPr>
          <w:rFonts w:ascii="宋体" w:hAnsi="宋体" w:cs="宋体"/>
          <w:b/>
          <w:bCs/>
        </w:rPr>
        <w:t>2、报告期内获取的重大的股权投资情况</w:t>
      </w:r>
      <w:bookmarkEnd w:id="3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6" w:name="_Toc988925"/>
      <w:r>
        <w:rPr>
          <w:rFonts w:ascii="宋体" w:hAnsi="宋体" w:cs="宋体"/>
          <w:b/>
          <w:bCs/>
        </w:rPr>
        <w:t>3、报告期内正在进行的重大的非股权投资情况</w:t>
      </w:r>
      <w:bookmarkEnd w:id="3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7" w:name="_Toc988926"/>
      <w:r>
        <w:rPr>
          <w:rFonts w:ascii="宋体" w:hAnsi="宋体" w:cs="宋体"/>
          <w:b/>
          <w:bCs/>
        </w:rPr>
        <w:t>4、金融资产投资</w:t>
      </w:r>
      <w:bookmarkEnd w:id="37"/>
    </w:p>
    <w:p w:rsidR="00037019" w:rsidRDefault="00BE788E">
      <w:pPr>
        <w:keepNext/>
        <w:keepLines/>
        <w:spacing w:before="300" w:after="300" w:line="280" w:lineRule="exact"/>
        <w:outlineLvl w:val="3"/>
        <w:rPr>
          <w:rFonts w:ascii="宋体" w:eastAsia="宋体" w:hAnsi="宋体" w:cs="宋体"/>
          <w:b/>
          <w:bCs/>
          <w:sz w:val="18"/>
          <w:szCs w:val="18"/>
        </w:rPr>
      </w:pPr>
      <w:bookmarkStart w:id="38" w:name="_Toc988927"/>
      <w:r>
        <w:rPr>
          <w:rFonts w:ascii="宋体" w:eastAsia="宋体" w:hAnsi="宋体" w:cs="宋体"/>
          <w:b/>
          <w:bCs/>
          <w:sz w:val="18"/>
          <w:szCs w:val="18"/>
        </w:rPr>
        <w:t>（1） 证券投资情况</w:t>
      </w:r>
      <w:bookmarkEnd w:id="38"/>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公司报告期不存在证券投资。</w:t>
      </w:r>
    </w:p>
    <w:p w:rsidR="00037019" w:rsidRDefault="00BE788E">
      <w:pPr>
        <w:keepNext/>
        <w:keepLines/>
        <w:spacing w:before="300" w:after="300" w:line="280" w:lineRule="exact"/>
        <w:outlineLvl w:val="3"/>
        <w:rPr>
          <w:rFonts w:ascii="宋体" w:eastAsia="宋体" w:hAnsi="宋体" w:cs="宋体"/>
          <w:b/>
          <w:bCs/>
          <w:sz w:val="18"/>
          <w:szCs w:val="18"/>
        </w:rPr>
      </w:pPr>
      <w:bookmarkStart w:id="39" w:name="_Toc988928"/>
      <w:r>
        <w:rPr>
          <w:rFonts w:ascii="宋体" w:eastAsia="宋体" w:hAnsi="宋体" w:cs="宋体"/>
          <w:b/>
          <w:bCs/>
          <w:sz w:val="18"/>
          <w:szCs w:val="18"/>
        </w:rPr>
        <w:t>（2） 衍生</w:t>
      </w:r>
      <w:proofErr w:type="gramStart"/>
      <w:r>
        <w:rPr>
          <w:rFonts w:ascii="宋体" w:eastAsia="宋体" w:hAnsi="宋体" w:cs="宋体"/>
          <w:b/>
          <w:bCs/>
          <w:sz w:val="18"/>
          <w:szCs w:val="18"/>
        </w:rPr>
        <w:t>品投资</w:t>
      </w:r>
      <w:proofErr w:type="gramEnd"/>
      <w:r>
        <w:rPr>
          <w:rFonts w:ascii="宋体" w:eastAsia="宋体" w:hAnsi="宋体" w:cs="宋体"/>
          <w:b/>
          <w:bCs/>
          <w:sz w:val="18"/>
          <w:szCs w:val="18"/>
        </w:rPr>
        <w:t>情况</w:t>
      </w:r>
      <w:bookmarkEnd w:id="3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40" w:name="_Toc988929"/>
      <w:r>
        <w:rPr>
          <w:rFonts w:ascii="宋体" w:eastAsia="宋体" w:hAnsi="宋体" w:cs="宋体"/>
          <w:b/>
          <w:bCs/>
          <w:sz w:val="18"/>
          <w:szCs w:val="18"/>
        </w:rPr>
        <w:t>1） 报告期内以套期保值为目的的衍生品投资</w:t>
      </w:r>
      <w:bookmarkEnd w:id="4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85"/>
        <w:gridCol w:w="1057"/>
        <w:gridCol w:w="1071"/>
        <w:gridCol w:w="1071"/>
        <w:gridCol w:w="1071"/>
        <w:gridCol w:w="1071"/>
        <w:gridCol w:w="1071"/>
      </w:tblGrid>
      <w:tr w:rsidR="00037019" w:rsidTr="00A46FA3">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初始投资金额</w:t>
            </w:r>
          </w:p>
        </w:tc>
        <w:tc>
          <w:tcPr>
            <w:tcW w:w="108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w:t>
            </w:r>
            <w:proofErr w:type="gramStart"/>
            <w:r>
              <w:rPr>
                <w:rFonts w:ascii="宋体" w:eastAsia="宋体" w:hAnsi="宋体" w:cs="宋体"/>
                <w:sz w:val="18"/>
                <w:szCs w:val="18"/>
              </w:rPr>
              <w:t>初金额</w:t>
            </w:r>
            <w:proofErr w:type="gramEnd"/>
          </w:p>
        </w:tc>
        <w:tc>
          <w:tcPr>
            <w:tcW w:w="105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w:t>
            </w:r>
            <w:r>
              <w:rPr>
                <w:rFonts w:ascii="宋体" w:eastAsia="宋体" w:hAnsi="宋体" w:cs="宋体"/>
                <w:sz w:val="18"/>
                <w:szCs w:val="18"/>
              </w:rPr>
              <w:lastRenderedPageBreak/>
              <w:t>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报告期内购入金额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报告期内售出金额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期末投资金额占公司报告期</w:t>
            </w:r>
            <w:r>
              <w:rPr>
                <w:rFonts w:ascii="宋体" w:eastAsia="宋体" w:hAnsi="宋体" w:cs="宋体"/>
                <w:sz w:val="18"/>
                <w:szCs w:val="18"/>
              </w:rPr>
              <w:lastRenderedPageBreak/>
              <w:t>末净资产比例</w:t>
            </w:r>
          </w:p>
        </w:tc>
      </w:tr>
      <w:tr w:rsidR="00037019" w:rsidTr="00A46FA3">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期货合约</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12,164.84</w:t>
            </w:r>
          </w:p>
        </w:tc>
        <w:tc>
          <w:tcPr>
            <w:tcW w:w="105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321.53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10,759.15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10,615.79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w:t>
            </w:r>
          </w:p>
        </w:tc>
      </w:tr>
      <w:tr w:rsidR="00037019" w:rsidTr="00A46FA3">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8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12,164.84</w:t>
            </w:r>
          </w:p>
        </w:tc>
        <w:tc>
          <w:tcPr>
            <w:tcW w:w="105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321.53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10,759.15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10,615.79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报告期内套期保值业务的会计政策、会计核算具体原则，以及与上</w:t>
            </w:r>
            <w:proofErr w:type="gramStart"/>
            <w:r>
              <w:rPr>
                <w:rFonts w:ascii="宋体" w:eastAsia="宋体" w:hAnsi="宋体" w:cs="宋体"/>
                <w:sz w:val="18"/>
                <w:szCs w:val="18"/>
              </w:rPr>
              <w:t>一报告</w:t>
            </w:r>
            <w:proofErr w:type="gramEnd"/>
            <w:r>
              <w:rPr>
                <w:rFonts w:ascii="宋体" w:eastAsia="宋体" w:hAnsi="宋体" w:cs="宋体"/>
                <w:sz w:val="18"/>
                <w:szCs w:val="18"/>
              </w:rPr>
              <w:t>期相比是否发生重大变化的说明</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报告期内套期保值业务的会计政策、会计核算具体原则：详见第十节、财务报告的“附注五、重要会计政策及会计估计”的“11、金融工具”。与上</w:t>
            </w:r>
            <w:proofErr w:type="gramStart"/>
            <w:r>
              <w:rPr>
                <w:rFonts w:ascii="宋体" w:eastAsia="宋体" w:hAnsi="宋体" w:cs="宋体"/>
                <w:sz w:val="18"/>
                <w:szCs w:val="18"/>
              </w:rPr>
              <w:t>一报告</w:t>
            </w:r>
            <w:proofErr w:type="gramEnd"/>
            <w:r>
              <w:rPr>
                <w:rFonts w:ascii="宋体" w:eastAsia="宋体" w:hAnsi="宋体" w:cs="宋体"/>
                <w:sz w:val="18"/>
                <w:szCs w:val="18"/>
              </w:rPr>
              <w:t>期相比未发生重大变化。</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报告期实际损益情况的说明</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报告期期货</w:t>
            </w:r>
            <w:proofErr w:type="gramStart"/>
            <w:r>
              <w:rPr>
                <w:rFonts w:ascii="宋体" w:eastAsia="宋体" w:hAnsi="宋体" w:cs="宋体"/>
                <w:sz w:val="18"/>
                <w:szCs w:val="18"/>
              </w:rPr>
              <w:t>端实际</w:t>
            </w:r>
            <w:proofErr w:type="gramEnd"/>
            <w:r>
              <w:rPr>
                <w:rFonts w:ascii="宋体" w:eastAsia="宋体" w:hAnsi="宋体" w:cs="宋体"/>
                <w:sz w:val="18"/>
                <w:szCs w:val="18"/>
              </w:rPr>
              <w:t>损益金额合计2435.06万元。</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套期保值效果的说明</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为规避生产经营中原材料价格波动带来的风险，有效拓宽原材料备货渠道，保持公司经营业绩的稳定性和</w:t>
            </w:r>
            <w:proofErr w:type="gramStart"/>
            <w:r>
              <w:rPr>
                <w:rFonts w:ascii="宋体" w:eastAsia="宋体" w:hAnsi="宋体" w:cs="宋体"/>
                <w:sz w:val="18"/>
                <w:szCs w:val="18"/>
              </w:rPr>
              <w:t>可</w:t>
            </w:r>
            <w:proofErr w:type="gramEnd"/>
            <w:r>
              <w:rPr>
                <w:rFonts w:ascii="宋体" w:eastAsia="宋体" w:hAnsi="宋体" w:cs="宋体"/>
                <w:sz w:val="18"/>
                <w:szCs w:val="18"/>
              </w:rPr>
              <w:t>持续性，公司通过期货市场买入套期保值交易锁定部分棉花原料价格。</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资金来源</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自有资金</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报告期衍生品持仓的风险分析及控制措施说明（包括但不限于市场风险、流动性风险、信用风险、操作风险、法律风险等）</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（一）主要风险分析</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1、市场风险：期货等衍生品行情变动较大时，可能产生价格波动风险，造成交易损失。</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2、操作风险：由于无法控制或不可预测的系统、网络、通讯故障等造成交易系统非正常运行，使交易指令出现延迟、中断或数据错误等问题，从而带来相应风险。</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3、政策风险：期货等衍生品市场的法律法规政策如发生重大变化，可能引起市场波动或无法交易带来的风险。</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4、法律风险：违反法律法规和监管部门的相关规定的风险。</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（二）风险控制措施</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1、公司的棉花期货交易是以棉花库存和订单情况为基本面，结合行情判断来决定买卖方向和</w:t>
            </w:r>
            <w:proofErr w:type="gramStart"/>
            <w:r>
              <w:rPr>
                <w:rFonts w:ascii="宋体" w:eastAsia="宋体" w:hAnsi="宋体" w:cs="宋体"/>
                <w:sz w:val="18"/>
                <w:szCs w:val="18"/>
              </w:rPr>
              <w:t>套保点位</w:t>
            </w:r>
            <w:proofErr w:type="gramEnd"/>
            <w:r>
              <w:rPr>
                <w:rFonts w:ascii="宋体" w:eastAsia="宋体" w:hAnsi="宋体" w:cs="宋体"/>
                <w:sz w:val="18"/>
                <w:szCs w:val="18"/>
              </w:rPr>
              <w:t>，以满足公司日常</w:t>
            </w:r>
            <w:proofErr w:type="gramStart"/>
            <w:r>
              <w:rPr>
                <w:rFonts w:ascii="宋体" w:eastAsia="宋体" w:hAnsi="宋体" w:cs="宋体"/>
                <w:sz w:val="18"/>
                <w:szCs w:val="18"/>
              </w:rPr>
              <w:t>网链业务</w:t>
            </w:r>
            <w:proofErr w:type="gramEnd"/>
            <w:r>
              <w:rPr>
                <w:rFonts w:ascii="宋体" w:eastAsia="宋体" w:hAnsi="宋体" w:cs="宋体"/>
                <w:sz w:val="18"/>
                <w:szCs w:val="18"/>
              </w:rPr>
              <w:t>价格风险对冲和平抑棉花库存成本的目的，在持仓规模上严格按照采购量控制，规避投机损失风险。针对棉花期货业务制定《期货投资管理作业指导书》以规范期货操作流程发挥期货套期保值功能，规避经营风险。</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2、在遵循合法、审慎、安全、有效的原则上，制定严格的决策程序、报告制度和监控措施，明确授权范围、操作要点与信息披露等具体要求，配备投资决策、策略分析、业务操作、风险监管等专业人员。</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3、根据总体采购策略和库存成本结构，跟踪行业信息，分析市场趋势，及时编制提报期货交易方案。根据公司库存和订单情况，结合风险承受能力和行情判断确定价格区间、开仓比例、止损点位，严格执行开平仓和止损操作。并定期向管理层和董事会提交期货交易授权执行情况。</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已投资衍生</w:t>
            </w:r>
            <w:proofErr w:type="gramStart"/>
            <w:r>
              <w:rPr>
                <w:rFonts w:ascii="宋体" w:eastAsia="宋体" w:hAnsi="宋体" w:cs="宋体"/>
                <w:sz w:val="18"/>
                <w:szCs w:val="18"/>
              </w:rPr>
              <w:t>品报告</w:t>
            </w:r>
            <w:proofErr w:type="gramEnd"/>
            <w:r>
              <w:rPr>
                <w:rFonts w:ascii="宋体" w:eastAsia="宋体" w:hAnsi="宋体" w:cs="宋体"/>
                <w:sz w:val="18"/>
                <w:szCs w:val="18"/>
              </w:rPr>
              <w:t>期内市场价格或产品公允价值变动的情况，对衍生品公允价值的分析应披露具体使用的方法及相关假设与参数的设定</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公司持有的期货合约的公允价值依据期货交易所相应合约的结算价确定。</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涉诉情况（如适用）</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审批董事会公告披露日期（如有)</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37019" w:rsidTr="00A46FA3">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审批股东会公告披露日期（如有)</w:t>
            </w:r>
          </w:p>
        </w:tc>
        <w:tc>
          <w:tcPr>
            <w:tcW w:w="6412"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2024年05月25日</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41" w:name="_Toc988930"/>
      <w:r>
        <w:rPr>
          <w:rFonts w:ascii="宋体" w:eastAsia="宋体" w:hAnsi="宋体" w:cs="宋体"/>
          <w:b/>
          <w:bCs/>
          <w:sz w:val="18"/>
          <w:szCs w:val="18"/>
        </w:rPr>
        <w:t>2） 报告期内以投机为目的的衍生品投资</w:t>
      </w:r>
      <w:bookmarkEnd w:id="4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公司报告期不存在以投机为目的的衍生品投资。</w:t>
      </w:r>
    </w:p>
    <w:p w:rsidR="00037019" w:rsidRDefault="00BE788E">
      <w:pPr>
        <w:pStyle w:val="3"/>
        <w:spacing w:line="280" w:lineRule="exact"/>
        <w:jc w:val="left"/>
        <w:rPr>
          <w:rFonts w:ascii="宋体" w:hAnsi="宋体" w:cs="宋体"/>
          <w:b/>
          <w:bCs/>
        </w:rPr>
      </w:pPr>
      <w:bookmarkStart w:id="42" w:name="_Toc988931"/>
      <w:r>
        <w:rPr>
          <w:rFonts w:ascii="宋体" w:hAnsi="宋体" w:cs="宋体"/>
          <w:b/>
          <w:bCs/>
        </w:rPr>
        <w:t>5、募集资金使用情况</w:t>
      </w:r>
      <w:bookmarkEnd w:id="4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43" w:name="_Toc988932"/>
      <w:r>
        <w:rPr>
          <w:rFonts w:ascii="宋体" w:eastAsia="宋体" w:hAnsi="宋体" w:cs="宋体"/>
          <w:b/>
          <w:bCs/>
          <w:sz w:val="18"/>
          <w:szCs w:val="18"/>
        </w:rPr>
        <w:lastRenderedPageBreak/>
        <w:t>（1） 募集资金总体使用情况</w:t>
      </w:r>
      <w:bookmarkEnd w:id="4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3"/>
        <w:gridCol w:w="803"/>
        <w:gridCol w:w="803"/>
        <w:gridCol w:w="803"/>
        <w:gridCol w:w="803"/>
        <w:gridCol w:w="803"/>
        <w:gridCol w:w="803"/>
        <w:gridCol w:w="803"/>
        <w:gridCol w:w="803"/>
        <w:gridCol w:w="803"/>
        <w:gridCol w:w="803"/>
        <w:gridCol w:w="806"/>
      </w:tblGrid>
      <w:tr w:rsidR="00037019" w:rsidTr="00A46FA3">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募集年份</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募集方式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募集资金净额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本期已使用募集资金总额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已累计使用募集资金总额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报告期内变更用途的募集资金总额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累计变更用途的募集资金总额比例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尚未使用募集资金用途及去向</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闲置两年以上募集资金金额</w:t>
            </w:r>
          </w:p>
        </w:tc>
      </w:tr>
      <w:tr w:rsidR="00037019" w:rsidTr="00A46FA3">
        <w:trPr>
          <w:cantSplit/>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2021年</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非公开发行</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114,100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-6.84</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113,513.92</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69.10%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434.74</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存放于募集资金专户</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A46FA3">
        <w:trPr>
          <w:cantSplit/>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114,100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-6.84</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113,513.92</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69.10%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434.74</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A46FA3">
        <w:trPr>
          <w:cantSplit/>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募集资金总体使用情况说明</w:t>
            </w:r>
          </w:p>
        </w:tc>
      </w:tr>
      <w:tr w:rsidR="00037019" w:rsidTr="00A46FA3">
        <w:trPr>
          <w:cantSplit/>
          <w:trHeight w:val="240"/>
        </w:trPr>
        <w:tc>
          <w:tcPr>
            <w:tcW w:w="9639" w:type="dxa"/>
            <w:gridSpan w:val="1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详见2024年8月31日披露于巨潮资讯网（www.cninfo.com.cn）上的《公司 2024年半年度募集资金存放和实际使用情况的专项报告》。</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44" w:name="_Toc988933"/>
      <w:r>
        <w:rPr>
          <w:rFonts w:ascii="宋体" w:eastAsia="宋体" w:hAnsi="宋体" w:cs="宋体"/>
          <w:b/>
          <w:bCs/>
          <w:sz w:val="18"/>
          <w:szCs w:val="18"/>
        </w:rPr>
        <w:t>（2） 募集资金承诺项目情况</w:t>
      </w:r>
      <w:bookmarkEnd w:id="44"/>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6"/>
        <w:gridCol w:w="876"/>
        <w:gridCol w:w="908"/>
        <w:gridCol w:w="844"/>
        <w:gridCol w:w="876"/>
        <w:gridCol w:w="876"/>
        <w:gridCol w:w="876"/>
        <w:gridCol w:w="876"/>
        <w:gridCol w:w="876"/>
        <w:gridCol w:w="876"/>
        <w:gridCol w:w="879"/>
      </w:tblGrid>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承诺投资项目和超募资金投向</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是否已变更项目(含部分变更)</w:t>
            </w:r>
          </w:p>
        </w:tc>
        <w:tc>
          <w:tcPr>
            <w:tcW w:w="9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募集资金承诺投资总额</w:t>
            </w:r>
          </w:p>
        </w:tc>
        <w:tc>
          <w:tcPr>
            <w:tcW w:w="8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调整后投资总额(1)</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本报告期投入金额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截至期末累计投入金额(2)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截至期末投资进度(3)＝(2)/(1)</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项目可行性是否发生重大变化</w:t>
            </w:r>
          </w:p>
        </w:tc>
      </w:tr>
      <w:tr w:rsidR="0003701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承诺投资项目</w:t>
            </w: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华孚（越南）50万锭新型纱线项目（一期)</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105,000</w:t>
            </w: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 万锭智能纺纱产业园项目)</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5,393.16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79,459.66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100.78%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869.97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c>
          <w:tcPr>
            <w:tcW w:w="87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45,000</w:t>
            </w: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临时性补充流动资金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承诺投资项目小计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113,513.92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869.97</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3701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超募资金投向</w:t>
            </w: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无</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A46FA3">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0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113,513.92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869.97</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分项目说明未达到计划进度、</w:t>
            </w:r>
            <w:r>
              <w:rPr>
                <w:rFonts w:ascii="宋体" w:eastAsia="宋体" w:hAnsi="宋体" w:cs="宋体"/>
                <w:sz w:val="18"/>
                <w:szCs w:val="18"/>
              </w:rPr>
              <w:lastRenderedPageBreak/>
              <w:t>预计收益的情况和原因（含“是否达到预计效益”选择“不适用”的原因）</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因外部市场环境变化，华孚（越南）50万锭新型纱线项目（一期)建设进度有所延</w:t>
            </w:r>
            <w:r>
              <w:rPr>
                <w:rFonts w:ascii="宋体" w:eastAsia="宋体" w:hAnsi="宋体" w:cs="宋体"/>
                <w:sz w:val="18"/>
                <w:szCs w:val="18"/>
              </w:rPr>
              <w:lastRenderedPageBreak/>
              <w:t>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项目可行性发生重大变化的情况说明</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因外部市场环境变化，华孚（越南）50万锭新型纱线项目（一期）建设进度有所延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超募资金的金额、用途及使用进展情况</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募集资金投资项目实施地点变更情况</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募集资金投资项目实施方式调整情况</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r w:rsidR="00037019" w:rsidTr="00A46FA3">
        <w:trPr>
          <w:trHeight w:val="240"/>
        </w:trPr>
        <w:tc>
          <w:tcPr>
            <w:tcW w:w="2660"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募集资金投资项目先期投入及置换情况</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适用</w:t>
            </w:r>
          </w:p>
        </w:tc>
      </w:tr>
      <w:tr w:rsidR="00037019" w:rsidTr="00A46FA3">
        <w:trPr>
          <w:trHeight w:val="240"/>
        </w:trPr>
        <w:tc>
          <w:tcPr>
            <w:tcW w:w="2660"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2024半年度，公司不存在募集资金投资项目先期投入及置换情况。</w:t>
            </w:r>
          </w:p>
        </w:tc>
      </w:tr>
      <w:tr w:rsidR="00037019" w:rsidTr="00A46FA3">
        <w:trPr>
          <w:trHeight w:val="240"/>
        </w:trPr>
        <w:tc>
          <w:tcPr>
            <w:tcW w:w="2660"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用闲置募集资金暂时补充流动资金情况</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适用</w:t>
            </w:r>
          </w:p>
        </w:tc>
      </w:tr>
      <w:tr w:rsidR="00037019" w:rsidTr="00A46FA3">
        <w:trPr>
          <w:trHeight w:val="240"/>
        </w:trPr>
        <w:tc>
          <w:tcPr>
            <w:tcW w:w="2660"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于2023年9月19日召开第八届董事会2023年第三次临时会议、第八届监事会第十五次会议，审议通过了《关于使用部分闲置募集资金暂时补充流动资金的议案》，同意公司使用不超过1.8亿元人民币的闲置募集资金暂时补充流动资金，使用期限自董事会审议通过之日起不超过十二个月。</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项目实施出现募集资金结余的金额及原因</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尚未使用的募集资金用途及去向</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截至2024年6月30日，尚未使用的募集资金全部存放于募集资金专用账户。</w:t>
            </w:r>
          </w:p>
        </w:tc>
      </w:tr>
      <w:tr w:rsidR="00037019" w:rsidTr="00A46FA3">
        <w:trPr>
          <w:trHeight w:val="240"/>
        </w:trPr>
        <w:tc>
          <w:tcPr>
            <w:tcW w:w="266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募集资金使用及披露中存在的问题或其他情况</w:t>
            </w:r>
          </w:p>
        </w:tc>
        <w:tc>
          <w:tcPr>
            <w:tcW w:w="6979"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本报告期投入资金合计为负数主要</w:t>
            </w:r>
            <w:proofErr w:type="gramStart"/>
            <w:r>
              <w:rPr>
                <w:rFonts w:ascii="宋体" w:eastAsia="宋体" w:hAnsi="宋体" w:cs="宋体"/>
                <w:sz w:val="18"/>
                <w:szCs w:val="18"/>
              </w:rPr>
              <w:t>系报告</w:t>
            </w:r>
            <w:proofErr w:type="gramEnd"/>
            <w:r>
              <w:rPr>
                <w:rFonts w:ascii="宋体" w:eastAsia="宋体" w:hAnsi="宋体" w:cs="宋体"/>
                <w:sz w:val="18"/>
                <w:szCs w:val="18"/>
              </w:rPr>
              <w:t>期内归还用于临时性补充流动资金的募集资金大于本期投入的募集资金金额所致。</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45" w:name="_Toc988934"/>
      <w:r>
        <w:rPr>
          <w:rFonts w:ascii="宋体" w:eastAsia="宋体" w:hAnsi="宋体" w:cs="宋体"/>
          <w:b/>
          <w:bCs/>
          <w:sz w:val="18"/>
          <w:szCs w:val="18"/>
        </w:rPr>
        <w:t>（3） 募集资金变更项目情况</w:t>
      </w:r>
      <w:bookmarkEnd w:id="4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3"/>
        <w:gridCol w:w="964"/>
        <w:gridCol w:w="964"/>
        <w:gridCol w:w="964"/>
        <w:gridCol w:w="964"/>
        <w:gridCol w:w="964"/>
        <w:gridCol w:w="964"/>
        <w:gridCol w:w="964"/>
        <w:gridCol w:w="964"/>
        <w:gridCol w:w="964"/>
      </w:tblGrid>
      <w:tr w:rsidR="00037019">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对应的原承诺项目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变更后项目拟投入募集资金总额(1)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本报告期实际投入金额</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截至期末实际累计投入金额(2)</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截至期末投资进度(3)=(2)/(1)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变更后的项目可行性是否发生重大变化</w:t>
            </w:r>
          </w:p>
        </w:tc>
      </w:tr>
      <w:tr w:rsidR="00037019">
        <w:trPr>
          <w:trHeight w:val="240"/>
        </w:trPr>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淮北30万锭智能纺纱产业园项目</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华孚（越南）50万锭新型纱线项目（一期)</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5,393.16</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79,459.66</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100.78%</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869.97</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是</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trPr>
          <w:trHeight w:val="240"/>
        </w:trPr>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临时性补充流动资金</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-5,400</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-6.84</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79,722.66</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869.97</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37019">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变更原因、决策程序及信息披露情况说明(</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1、因外部市场环境变化，原项目建设进度有所延缓，实施周期被动拉长，存在投资收益不达预期的风险。因此，经公司于 2022年1月10日召开的2022年第一次股东大会审议通过，同意将公司2021年非公开发行股票募集资金投资项目华孚（越南）50万锭新型纱线项目（一期）变更为30万锭智能纺纱产业园项目（项目</w:t>
            </w:r>
            <w:r>
              <w:rPr>
                <w:rFonts w:ascii="宋体" w:eastAsia="宋体" w:hAnsi="宋体" w:cs="宋体"/>
                <w:sz w:val="18"/>
                <w:szCs w:val="18"/>
              </w:rPr>
              <w:lastRenderedPageBreak/>
              <w:t>实施地在安徽省淮北市）。</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2、2023年9月19日召开第八届董事会2023年第三次临时会议、第八届监事会第十五次会议，审议通过了《关于使用部分闲置募集资金暂时补充流动资金的议案》，同意公司使用不超过1.8亿元人民币的闲置募集资金暂时补充流动资金，使用期限自董事会审议通过之日起不超过十二个月。</w:t>
            </w:r>
          </w:p>
        </w:tc>
      </w:tr>
      <w:tr w:rsidR="00037019">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未达到计划进度或预计收益的情况和原因(</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r w:rsidR="00037019">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变更后的项目可行性发生重大变化的情况说明</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37019" w:rsidRDefault="00BE788E">
      <w:pPr>
        <w:pStyle w:val="2"/>
        <w:spacing w:before="300" w:after="300" w:line="320" w:lineRule="exact"/>
        <w:rPr>
          <w:rFonts w:ascii="宋体" w:eastAsia="宋体" w:hAnsi="宋体" w:cs="宋体"/>
          <w:b/>
          <w:bCs/>
          <w:sz w:val="24"/>
          <w:szCs w:val="24"/>
        </w:rPr>
      </w:pPr>
      <w:bookmarkStart w:id="46" w:name="_Toc988935"/>
      <w:r>
        <w:rPr>
          <w:rFonts w:ascii="宋体" w:eastAsia="宋体" w:hAnsi="宋体" w:cs="宋体"/>
          <w:b/>
          <w:bCs/>
          <w:sz w:val="24"/>
          <w:szCs w:val="24"/>
        </w:rPr>
        <w:t>八、重大资产和股权出售</w:t>
      </w:r>
      <w:bookmarkEnd w:id="46"/>
    </w:p>
    <w:p w:rsidR="00037019" w:rsidRDefault="00BE788E">
      <w:pPr>
        <w:pStyle w:val="3"/>
        <w:spacing w:line="280" w:lineRule="exact"/>
        <w:jc w:val="left"/>
        <w:rPr>
          <w:rFonts w:ascii="宋体" w:hAnsi="宋体" w:cs="宋体"/>
          <w:b/>
          <w:bCs/>
        </w:rPr>
      </w:pPr>
      <w:bookmarkStart w:id="47" w:name="_Toc988936"/>
      <w:r>
        <w:rPr>
          <w:rFonts w:ascii="宋体" w:hAnsi="宋体" w:cs="宋体"/>
          <w:b/>
          <w:bCs/>
        </w:rPr>
        <w:t>1、出售重大资产情况</w:t>
      </w:r>
      <w:bookmarkEnd w:id="4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公司报告期未出售重大资产。</w:t>
      </w:r>
    </w:p>
    <w:p w:rsidR="00037019" w:rsidRDefault="00BE788E">
      <w:pPr>
        <w:pStyle w:val="3"/>
        <w:spacing w:line="280" w:lineRule="exact"/>
        <w:jc w:val="left"/>
        <w:rPr>
          <w:rFonts w:ascii="宋体" w:hAnsi="宋体" w:cs="宋体"/>
          <w:b/>
          <w:bCs/>
        </w:rPr>
      </w:pPr>
      <w:bookmarkStart w:id="48" w:name="_Toc988937"/>
      <w:r>
        <w:rPr>
          <w:rFonts w:ascii="宋体" w:hAnsi="宋体" w:cs="宋体"/>
          <w:b/>
          <w:bCs/>
        </w:rPr>
        <w:t>2、出售重大股权情况</w:t>
      </w:r>
      <w:bookmarkEnd w:id="48"/>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49" w:name="_Toc988938"/>
      <w:r>
        <w:rPr>
          <w:rFonts w:ascii="宋体" w:eastAsia="宋体" w:hAnsi="宋体" w:cs="宋体"/>
          <w:b/>
          <w:bCs/>
          <w:sz w:val="24"/>
          <w:szCs w:val="24"/>
        </w:rPr>
        <w:t>九、主要控股参股公司分析</w:t>
      </w:r>
      <w:bookmarkEnd w:id="49"/>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主要子公司及对公司净利润</w:t>
      </w:r>
      <w:proofErr w:type="gramStart"/>
      <w:r>
        <w:rPr>
          <w:rFonts w:ascii="宋体" w:eastAsia="宋体" w:hAnsi="宋体" w:cs="宋体"/>
          <w:sz w:val="18"/>
          <w:szCs w:val="18"/>
        </w:rPr>
        <w:t>影响达</w:t>
      </w:r>
      <w:proofErr w:type="gramEnd"/>
      <w:r>
        <w:rPr>
          <w:rFonts w:ascii="宋体" w:eastAsia="宋体" w:hAnsi="宋体" w:cs="宋体"/>
          <w:sz w:val="18"/>
          <w:szCs w:val="18"/>
        </w:rPr>
        <w:t>10%以上的参股公司情况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5"/>
        <w:gridCol w:w="709"/>
        <w:gridCol w:w="1829"/>
        <w:gridCol w:w="1071"/>
        <w:gridCol w:w="1071"/>
        <w:gridCol w:w="1071"/>
        <w:gridCol w:w="1071"/>
        <w:gridCol w:w="1071"/>
        <w:gridCol w:w="1071"/>
      </w:tblGrid>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公司类型</w:t>
            </w:r>
          </w:p>
        </w:tc>
        <w:tc>
          <w:tcPr>
            <w:tcW w:w="182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主要业务</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总资产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净资产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国内商业、物资供销业(不含专营、专控、专卖商品)；进出口业务(按深贸管审证字第628号</w:t>
            </w:r>
            <w:proofErr w:type="gramStart"/>
            <w:r>
              <w:rPr>
                <w:rFonts w:ascii="宋体" w:eastAsia="宋体" w:hAnsi="宋体" w:cs="宋体"/>
                <w:sz w:val="18"/>
                <w:szCs w:val="18"/>
              </w:rPr>
              <w:t>文办理</w:t>
            </w:r>
            <w:proofErr w:type="gramEnd"/>
            <w:r>
              <w:rPr>
                <w:rFonts w:ascii="宋体" w:eastAsia="宋体" w:hAnsi="宋体" w:cs="宋体"/>
                <w:sz w:val="18"/>
                <w:szCs w:val="18"/>
              </w:rPr>
              <w:t>)。企业信息咨询(不含限制项目)。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6,910,803,088.10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2,054,412,040.35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1,625,609,594.05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145,874,087.21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144,386,942.55</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高档织物面料的织染及后整理加工，特种纤维、纱线、面料、混色纺纱线、染色纤维、染色筒纱、服装的生产、加工、销售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620,560,889.03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2,510,349,056.41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820,657,240.36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454,612,086.43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17,955,734.21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17,679,458.70</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色纺纱、高新坯纱、OE纱等棉纺织品的批发，进出口业务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1,710,194,724.15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-190,043,302.94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1,506,540,502.40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-12,036,914.22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-12,039,883.79</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顺道(越南)实</w:t>
            </w:r>
            <w:r>
              <w:rPr>
                <w:rFonts w:ascii="宋体" w:eastAsia="宋体" w:hAnsi="宋体" w:cs="宋体"/>
                <w:sz w:val="18"/>
                <w:szCs w:val="18"/>
              </w:rPr>
              <w:lastRenderedPageBreak/>
              <w:t>业独资有限公司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生产色纺纱，具体生产加工各类色纺纱线</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1,035,330,796.00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1,916,555,668.03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1,304,194,807.41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598,037,659.41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25,975,177.45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26,057,827.47</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新疆华孚棉业集团有限公司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农产品初加工服务；社会经济咨询；股权投资；棉花种植，谷物种植，货物与技术的进出口（国家禁止或涉及行政审批的货物和技术进出口除外）；销售：食品、农副产品，纺织品、针织品及原料，服装鞋帽，纸浆，棉花，橡胶制品，棉纱，化工产品（危险化学品除外）（涉及许可经营项目，应取得相关部门许可后方可经营）</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2,653,221,609.37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1,042,595,820.09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1,656,412,771.93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-9,016,887.70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-9,016,887.70</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从事色纱线产品的销售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605,850,038.16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287,071,163.70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132,098,275.23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11,145,896.67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10,594,588.50</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参股公司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纱加工；面料纺织加工；面料印染加工；家用纺织制成品制造；非食用农产品初加工；针纺织品销售；针纺织品及原料销售；产业用纺织制成品销售；服装辅料销售；技术进出口；货物进出口；棉、麻销售；仪器仪表销售；机械设备销售；机械零件、零部件销售；初级农产品收购；棉花收购；居民日常生活服务；机械设备租赁；土地使用权租赁；住房租赁；非居住房地产租赁。（除依法须经批准的项目外，凭营业执照依法自主开展经营活动）许可项目：餐饮服务；住宿服务；自来水生产与供应。</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230,343,900.00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434,348,143.83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-13,611,348.12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199,445,627.71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-11,165,411.59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-11,164,372.76</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w:t>
            </w:r>
            <w:r>
              <w:rPr>
                <w:rFonts w:ascii="宋体" w:eastAsia="宋体" w:hAnsi="宋体" w:cs="宋体"/>
                <w:sz w:val="18"/>
                <w:szCs w:val="18"/>
              </w:rPr>
              <w:lastRenderedPageBreak/>
              <w:t>苏银星物流有限公司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参股</w:t>
            </w:r>
            <w:r>
              <w:rPr>
                <w:rFonts w:ascii="宋体" w:eastAsia="宋体" w:hAnsi="宋体" w:cs="宋体"/>
                <w:sz w:val="18"/>
                <w:szCs w:val="18"/>
              </w:rPr>
              <w:lastRenderedPageBreak/>
              <w:t>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公共铁路运输；道</w:t>
            </w:r>
            <w:r>
              <w:rPr>
                <w:rFonts w:ascii="宋体" w:eastAsia="宋体" w:hAnsi="宋体" w:cs="宋体"/>
                <w:sz w:val="18"/>
                <w:szCs w:val="18"/>
              </w:rPr>
              <w:lastRenderedPageBreak/>
              <w:t>路货物运输（不含危险货物）。（依法须经批准的项目，经相关部门批准后方可开展经营活动，具体经营项目以相关部门批准文件或许可证件为准）一般项目：棉花加工；棉花收购；棉花加工机械销售；道路货物运输站经营；棉、麻销售；食用农产品批发；食用农产品零售；农、林、牧、副、渔业专业机械的销售；产业用纺织制成品销售；日用杂品销售；普通货物仓储服务（不含危险化学品等需许可审批的项目）；国内货物运输代理；运输货物打包服务；国内集装箱货物运输代理；装卸搬运；租赁服务（不含许可类租赁服务）；日用百货销售；水产品批发；水产品零售；家用电器零配件销售；金属丝</w:t>
            </w:r>
            <w:proofErr w:type="gramStart"/>
            <w:r>
              <w:rPr>
                <w:rFonts w:ascii="宋体" w:eastAsia="宋体" w:hAnsi="宋体" w:cs="宋体"/>
                <w:sz w:val="18"/>
                <w:szCs w:val="18"/>
              </w:rPr>
              <w:t>绳</w:t>
            </w:r>
            <w:proofErr w:type="gramEnd"/>
            <w:r>
              <w:rPr>
                <w:rFonts w:ascii="宋体" w:eastAsia="宋体" w:hAnsi="宋体" w:cs="宋体"/>
                <w:sz w:val="18"/>
                <w:szCs w:val="18"/>
              </w:rPr>
              <w:t>及其制品销售。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 80,000,</w:t>
            </w:r>
            <w:r>
              <w:rPr>
                <w:rFonts w:ascii="宋体" w:eastAsia="宋体" w:hAnsi="宋体" w:cs="宋体"/>
                <w:sz w:val="18"/>
                <w:szCs w:val="18"/>
              </w:rPr>
              <w:lastRenderedPageBreak/>
              <w:t>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149,647,4</w:t>
            </w:r>
            <w:r>
              <w:rPr>
                <w:rFonts w:ascii="宋体" w:eastAsia="宋体" w:hAnsi="宋体" w:cs="宋体"/>
                <w:sz w:val="18"/>
                <w:szCs w:val="18"/>
              </w:rPr>
              <w:lastRenderedPageBreak/>
              <w:t>06.31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132,402,3</w:t>
            </w:r>
            <w:r>
              <w:rPr>
                <w:rFonts w:ascii="宋体" w:eastAsia="宋体" w:hAnsi="宋体" w:cs="宋体"/>
                <w:sz w:val="18"/>
                <w:szCs w:val="18"/>
              </w:rPr>
              <w:lastRenderedPageBreak/>
              <w:t>34.66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17,059,80</w:t>
            </w:r>
            <w:r>
              <w:rPr>
                <w:rFonts w:ascii="宋体" w:eastAsia="宋体" w:hAnsi="宋体" w:cs="宋体"/>
                <w:sz w:val="18"/>
                <w:szCs w:val="18"/>
              </w:rPr>
              <w:lastRenderedPageBreak/>
              <w:t>1.18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8,449,139</w:t>
            </w:r>
            <w:r>
              <w:rPr>
                <w:rFonts w:ascii="宋体" w:eastAsia="宋体" w:hAnsi="宋体" w:cs="宋体"/>
                <w:sz w:val="18"/>
                <w:szCs w:val="18"/>
              </w:rPr>
              <w:lastRenderedPageBreak/>
              <w:t>.39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6,314,345</w:t>
            </w:r>
            <w:r>
              <w:rPr>
                <w:rFonts w:ascii="宋体" w:eastAsia="宋体" w:hAnsi="宋体" w:cs="宋体"/>
                <w:sz w:val="18"/>
                <w:szCs w:val="18"/>
              </w:rPr>
              <w:lastRenderedPageBreak/>
              <w:t>.68</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新疆棉花产业集团岳普湖棉业有限公司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参股公司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籽棉加工、住宿（限分支机构经营），籽棉收购；销售：皮棉、棉短绒、棉籽、棉副产品、不孕籽棉、棉花打包材料、农膜、化肥（硝基复混肥除外）、棉</w:t>
            </w:r>
            <w:proofErr w:type="gramStart"/>
            <w:r>
              <w:rPr>
                <w:rFonts w:ascii="宋体" w:eastAsia="宋体" w:hAnsi="宋体" w:cs="宋体"/>
                <w:sz w:val="18"/>
                <w:szCs w:val="18"/>
              </w:rPr>
              <w:t>粕</w:t>
            </w:r>
            <w:proofErr w:type="gramEnd"/>
            <w:r>
              <w:rPr>
                <w:rFonts w:ascii="宋体" w:eastAsia="宋体" w:hAnsi="宋体" w:cs="宋体"/>
                <w:sz w:val="18"/>
                <w:szCs w:val="18"/>
              </w:rPr>
              <w:t>、棉机、棉检仪器、五金交电、化工产品。</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220,332,142.40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43,568,121.12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415,707,002.68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8,103,151.79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8,103,151.79</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参股公司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籽棉加工（限分支机构经营）；籽棉收购；销售：皮棉、棉短绒、棉籽、棉副产品、不孕籽棉、棉花打包材料、农膜、化肥、棉</w:t>
            </w:r>
            <w:proofErr w:type="gramStart"/>
            <w:r>
              <w:rPr>
                <w:rFonts w:ascii="宋体" w:eastAsia="宋体" w:hAnsi="宋体" w:cs="宋体"/>
                <w:sz w:val="18"/>
                <w:szCs w:val="18"/>
              </w:rPr>
              <w:t>粕</w:t>
            </w:r>
            <w:proofErr w:type="gramEnd"/>
            <w:r>
              <w:rPr>
                <w:rFonts w:ascii="宋体" w:eastAsia="宋体" w:hAnsi="宋体" w:cs="宋体"/>
                <w:sz w:val="18"/>
                <w:szCs w:val="18"/>
              </w:rPr>
              <w:t>、棉机、棉检仪器、五金交电、化工产品；房屋租</w:t>
            </w:r>
            <w:r>
              <w:rPr>
                <w:rFonts w:ascii="宋体" w:eastAsia="宋体" w:hAnsi="宋体" w:cs="宋体"/>
                <w:sz w:val="18"/>
                <w:szCs w:val="18"/>
              </w:rPr>
              <w:lastRenderedPageBreak/>
              <w:t>赁。</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 20,000,000.00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185,006,743.58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22,897,827.44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262,517,475.05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7,819,029.15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7,833,277.25</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深圳华孚网链投资有限公司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供应</w:t>
            </w:r>
            <w:proofErr w:type="gramStart"/>
            <w:r>
              <w:rPr>
                <w:rFonts w:ascii="宋体" w:eastAsia="宋体" w:hAnsi="宋体" w:cs="宋体"/>
                <w:sz w:val="18"/>
                <w:szCs w:val="18"/>
              </w:rPr>
              <w:t>链项目</w:t>
            </w:r>
            <w:proofErr w:type="gramEnd"/>
            <w:r>
              <w:rPr>
                <w:rFonts w:ascii="宋体" w:eastAsia="宋体" w:hAnsi="宋体" w:cs="宋体"/>
                <w:sz w:val="18"/>
                <w:szCs w:val="18"/>
              </w:rPr>
              <w:t>投资、互联网电商项目投资、投资兴办实业（具体项目另行申报）；股权投资基金管理（不得从事证券投资活动；不得以公开方式募集资金开展投资活动；不得从事公开募集基金管理业务）；投资管理；投资咨询</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614,437,052.62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480,041,722.71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-11,439,227.21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-11,478,240.42</w:t>
            </w:r>
          </w:p>
        </w:tc>
      </w:tr>
      <w:tr w:rsidR="00037019" w:rsidTr="00A46FA3">
        <w:trPr>
          <w:trHeight w:val="240"/>
        </w:trPr>
        <w:tc>
          <w:tcPr>
            <w:tcW w:w="67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越南隆安英鸿投资股份公司</w:t>
            </w: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参股公司</w:t>
            </w:r>
          </w:p>
        </w:tc>
        <w:tc>
          <w:tcPr>
            <w:tcW w:w="182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房地产开发</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88,200,000.00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371,605,415.27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94,942,147.77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172,936.57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-7,331,336.84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-7,326,814.73</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报告期内取得和处置子公司的情况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报告期内取得和处置子公司方式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对整体生产经营和业绩的影响</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华孚智算（上海）网络有限公司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新疆华孚人工智能科技有限公司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w:t>
            </w:r>
            <w:proofErr w:type="gramStart"/>
            <w:r>
              <w:rPr>
                <w:rFonts w:ascii="宋体" w:eastAsia="宋体" w:hAnsi="宋体" w:cs="宋体"/>
                <w:sz w:val="18"/>
                <w:szCs w:val="18"/>
              </w:rPr>
              <w:t>智宽科技</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新疆华孚智算科技有限公司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绍兴华孚智算</w:t>
            </w:r>
            <w:proofErr w:type="gramEnd"/>
            <w:r>
              <w:rPr>
                <w:rFonts w:ascii="宋体" w:eastAsia="宋体" w:hAnsi="宋体" w:cs="宋体"/>
                <w:sz w:val="18"/>
                <w:szCs w:val="18"/>
              </w:rPr>
              <w:t>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喀什</w:t>
            </w:r>
            <w:proofErr w:type="gramStart"/>
            <w:r>
              <w:rPr>
                <w:rFonts w:ascii="宋体" w:eastAsia="宋体" w:hAnsi="宋体" w:cs="宋体"/>
                <w:sz w:val="18"/>
                <w:szCs w:val="18"/>
              </w:rPr>
              <w:t>暄</w:t>
            </w:r>
            <w:proofErr w:type="gramEnd"/>
            <w:r>
              <w:rPr>
                <w:rFonts w:ascii="宋体" w:eastAsia="宋体" w:hAnsi="宋体" w:cs="宋体"/>
                <w:sz w:val="18"/>
                <w:szCs w:val="18"/>
              </w:rPr>
              <w:t>纺棉花有限公司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阿瓦提华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余姚华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浙江服人网络科技有限公司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bl>
    <w:p w:rsidR="00037019" w:rsidRDefault="00BE788E">
      <w:pPr>
        <w:pStyle w:val="2"/>
        <w:spacing w:before="300" w:after="300" w:line="320" w:lineRule="exact"/>
        <w:rPr>
          <w:rFonts w:ascii="宋体" w:eastAsia="宋体" w:hAnsi="宋体" w:cs="宋体"/>
          <w:b/>
          <w:bCs/>
          <w:sz w:val="24"/>
          <w:szCs w:val="24"/>
        </w:rPr>
      </w:pPr>
      <w:bookmarkStart w:id="50" w:name="_Toc988939"/>
      <w:r>
        <w:rPr>
          <w:rFonts w:ascii="宋体" w:eastAsia="宋体" w:hAnsi="宋体" w:cs="宋体"/>
          <w:b/>
          <w:bCs/>
          <w:sz w:val="24"/>
          <w:szCs w:val="24"/>
        </w:rPr>
        <w:t>十、公司控制的结构化主体情况</w:t>
      </w:r>
      <w:bookmarkEnd w:id="50"/>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51" w:name="_Toc988940"/>
      <w:r>
        <w:rPr>
          <w:rFonts w:ascii="宋体" w:eastAsia="宋体" w:hAnsi="宋体" w:cs="宋体"/>
          <w:b/>
          <w:bCs/>
          <w:sz w:val="24"/>
          <w:szCs w:val="24"/>
        </w:rPr>
        <w:t>十一、公司面临的风险和应对措施</w:t>
      </w:r>
      <w:bookmarkEnd w:id="51"/>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hint="eastAsia"/>
          <w:sz w:val="18"/>
          <w:szCs w:val="18"/>
        </w:rPr>
        <w:t>（</w:t>
      </w:r>
      <w:r w:rsidRPr="00132B02">
        <w:rPr>
          <w:rFonts w:asciiTheme="minorEastAsia" w:eastAsiaTheme="minorEastAsia" w:hAnsiTheme="minorEastAsia" w:cs="Times New Roman"/>
          <w:sz w:val="18"/>
          <w:szCs w:val="18"/>
        </w:rPr>
        <w:t>1</w:t>
      </w:r>
      <w:r w:rsidRPr="00132B02">
        <w:rPr>
          <w:rFonts w:asciiTheme="minorEastAsia" w:eastAsiaTheme="minorEastAsia" w:hAnsiTheme="minorEastAsia" w:cs="Times New Roman" w:hint="eastAsia"/>
          <w:sz w:val="18"/>
          <w:szCs w:val="18"/>
        </w:rPr>
        <w:t>）可能面临的风险</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1</w:t>
      </w:r>
      <w:r w:rsidRPr="00132B02">
        <w:rPr>
          <w:rFonts w:asciiTheme="minorEastAsia" w:eastAsiaTheme="minorEastAsia" w:hAnsiTheme="minorEastAsia" w:cs="Times New Roman" w:hint="eastAsia"/>
          <w:sz w:val="18"/>
          <w:szCs w:val="18"/>
        </w:rPr>
        <w:t>、原材料价格波动风险：棉花成本占总成本</w:t>
      </w:r>
      <w:r w:rsidRPr="00132B02">
        <w:rPr>
          <w:rFonts w:asciiTheme="minorEastAsia" w:eastAsiaTheme="minorEastAsia" w:hAnsiTheme="minorEastAsia" w:cs="Times New Roman"/>
          <w:sz w:val="18"/>
          <w:szCs w:val="18"/>
        </w:rPr>
        <w:t>60%</w:t>
      </w:r>
      <w:r w:rsidRPr="00132B02">
        <w:rPr>
          <w:rFonts w:asciiTheme="minorEastAsia" w:eastAsiaTheme="minorEastAsia" w:hAnsiTheme="minorEastAsia" w:cs="Times New Roman" w:hint="eastAsia"/>
          <w:sz w:val="18"/>
          <w:szCs w:val="18"/>
        </w:rPr>
        <w:t>以上，棉花等原料的金融属性加强，价格波动幅度增大。</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2</w:t>
      </w:r>
      <w:r w:rsidRPr="00132B02">
        <w:rPr>
          <w:rFonts w:asciiTheme="minorEastAsia" w:eastAsiaTheme="minorEastAsia" w:hAnsiTheme="minorEastAsia" w:cs="Times New Roman" w:hint="eastAsia"/>
          <w:sz w:val="18"/>
          <w:szCs w:val="18"/>
        </w:rPr>
        <w:t>、人民币汇率风险：本公司棉花部分为从国际市场采购、纺织产品部分以直接或间接方式出口海外，利用境外融资平台配置有美元外债，公司也有境外项目投资，人民币汇率的波动将对公司生产成本、营业收入以及汇兑损益产生一定影响。</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3</w:t>
      </w:r>
      <w:r w:rsidRPr="00132B02">
        <w:rPr>
          <w:rFonts w:asciiTheme="minorEastAsia" w:eastAsiaTheme="minorEastAsia" w:hAnsiTheme="minorEastAsia" w:cs="Times New Roman" w:hint="eastAsia"/>
          <w:sz w:val="18"/>
          <w:szCs w:val="18"/>
        </w:rPr>
        <w:t>、政治博弈带来订单波动的风险：地缘政治冲突、中美博弈、阿克苏华孚被美国商务部列入实体清单事件将导致外部经营环境不确定性增加，带来订单波动加大的风险。公司通过积极开发国内及非美市场，以规避订单波动带来的风险。</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hint="eastAsia"/>
          <w:sz w:val="18"/>
          <w:szCs w:val="18"/>
        </w:rPr>
        <w:t>（</w:t>
      </w:r>
      <w:r w:rsidRPr="00132B02">
        <w:rPr>
          <w:rFonts w:asciiTheme="minorEastAsia" w:eastAsiaTheme="minorEastAsia" w:hAnsiTheme="minorEastAsia" w:cs="Times New Roman"/>
          <w:sz w:val="18"/>
          <w:szCs w:val="18"/>
        </w:rPr>
        <w:t>2</w:t>
      </w:r>
      <w:r w:rsidRPr="00132B02">
        <w:rPr>
          <w:rFonts w:asciiTheme="minorEastAsia" w:eastAsiaTheme="minorEastAsia" w:hAnsiTheme="minorEastAsia" w:cs="Times New Roman" w:hint="eastAsia"/>
          <w:sz w:val="18"/>
          <w:szCs w:val="18"/>
        </w:rPr>
        <w:t>）公司的应对措施</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1</w:t>
      </w:r>
      <w:r w:rsidRPr="00132B02">
        <w:rPr>
          <w:rFonts w:asciiTheme="minorEastAsia" w:eastAsiaTheme="minorEastAsia" w:hAnsiTheme="minorEastAsia" w:cs="Times New Roman" w:hint="eastAsia"/>
          <w:sz w:val="18"/>
          <w:szCs w:val="18"/>
        </w:rPr>
        <w:t>、保持战略定力。继续实行“坚持主业，共享产业，发展新业”的战略，以纱线贯穿纺织服装产业，以产业互联网与柔性供应</w:t>
      </w:r>
      <w:proofErr w:type="gramStart"/>
      <w:r w:rsidRPr="00132B02">
        <w:rPr>
          <w:rFonts w:asciiTheme="minorEastAsia" w:eastAsiaTheme="minorEastAsia" w:hAnsiTheme="minorEastAsia" w:cs="Times New Roman" w:hint="eastAsia"/>
          <w:sz w:val="18"/>
          <w:szCs w:val="18"/>
        </w:rPr>
        <w:t>链实现</w:t>
      </w:r>
      <w:proofErr w:type="gramEnd"/>
      <w:r w:rsidRPr="00132B02">
        <w:rPr>
          <w:rFonts w:asciiTheme="minorEastAsia" w:eastAsiaTheme="minorEastAsia" w:hAnsiTheme="minorEastAsia" w:cs="Times New Roman" w:hint="eastAsia"/>
          <w:sz w:val="18"/>
          <w:szCs w:val="18"/>
        </w:rPr>
        <w:t>产业转型，实现“原材料</w:t>
      </w:r>
      <w:r w:rsidRPr="00132B02">
        <w:rPr>
          <w:rFonts w:asciiTheme="minorEastAsia" w:eastAsiaTheme="minorEastAsia" w:hAnsiTheme="minorEastAsia" w:cs="Times New Roman"/>
          <w:sz w:val="18"/>
          <w:szCs w:val="18"/>
        </w:rPr>
        <w:t>-</w:t>
      </w:r>
      <w:r w:rsidRPr="00132B02">
        <w:rPr>
          <w:rFonts w:asciiTheme="minorEastAsia" w:eastAsiaTheme="minorEastAsia" w:hAnsiTheme="minorEastAsia" w:cs="Times New Roman" w:hint="eastAsia"/>
          <w:sz w:val="18"/>
          <w:szCs w:val="18"/>
        </w:rPr>
        <w:t>纺纱</w:t>
      </w:r>
      <w:r w:rsidRPr="00132B02">
        <w:rPr>
          <w:rFonts w:asciiTheme="minorEastAsia" w:eastAsiaTheme="minorEastAsia" w:hAnsiTheme="minorEastAsia" w:cs="Times New Roman"/>
          <w:sz w:val="18"/>
          <w:szCs w:val="18"/>
        </w:rPr>
        <w:t>-</w:t>
      </w:r>
      <w:r w:rsidRPr="00132B02">
        <w:rPr>
          <w:rFonts w:asciiTheme="minorEastAsia" w:eastAsiaTheme="minorEastAsia" w:hAnsiTheme="minorEastAsia" w:cs="Times New Roman" w:hint="eastAsia"/>
          <w:sz w:val="18"/>
          <w:szCs w:val="18"/>
        </w:rPr>
        <w:t>面料</w:t>
      </w:r>
      <w:r w:rsidRPr="00132B02">
        <w:rPr>
          <w:rFonts w:asciiTheme="minorEastAsia" w:eastAsiaTheme="minorEastAsia" w:hAnsiTheme="minorEastAsia" w:cs="Times New Roman"/>
          <w:sz w:val="18"/>
          <w:szCs w:val="18"/>
        </w:rPr>
        <w:t>-</w:t>
      </w:r>
      <w:r w:rsidRPr="00132B02">
        <w:rPr>
          <w:rFonts w:asciiTheme="minorEastAsia" w:eastAsiaTheme="minorEastAsia" w:hAnsiTheme="minorEastAsia" w:cs="Times New Roman" w:hint="eastAsia"/>
          <w:sz w:val="18"/>
          <w:szCs w:val="18"/>
        </w:rPr>
        <w:t>成衣”全产业链覆盖，实现从时尚制造商向时尚运营商的转型。</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lastRenderedPageBreak/>
        <w:t>2</w:t>
      </w:r>
      <w:r w:rsidRPr="00132B02">
        <w:rPr>
          <w:rFonts w:asciiTheme="minorEastAsia" w:eastAsiaTheme="minorEastAsia" w:hAnsiTheme="minorEastAsia" w:cs="Times New Roman" w:hint="eastAsia"/>
          <w:sz w:val="18"/>
          <w:szCs w:val="18"/>
        </w:rPr>
        <w:t>、实施双循环战略，实现海外、国内市场均衡发展。抓住中国市场规模大、消费升级的历史机遇，发挥公司创新快反、优良服务、资源整合的优势，系统对</w:t>
      </w:r>
      <w:proofErr w:type="gramStart"/>
      <w:r w:rsidRPr="00132B02">
        <w:rPr>
          <w:rFonts w:asciiTheme="minorEastAsia" w:eastAsiaTheme="minorEastAsia" w:hAnsiTheme="minorEastAsia" w:cs="Times New Roman" w:hint="eastAsia"/>
          <w:sz w:val="18"/>
          <w:szCs w:val="18"/>
        </w:rPr>
        <w:t>接头部国潮</w:t>
      </w:r>
      <w:proofErr w:type="gramEnd"/>
      <w:r w:rsidRPr="00132B02">
        <w:rPr>
          <w:rFonts w:asciiTheme="minorEastAsia" w:eastAsiaTheme="minorEastAsia" w:hAnsiTheme="minorEastAsia" w:cs="Times New Roman" w:hint="eastAsia"/>
          <w:sz w:val="18"/>
          <w:szCs w:val="18"/>
        </w:rPr>
        <w:t>品牌、电商新锐品牌、专项市场供应链，深化区域市场开发、深耕细分市场，挖掘价值客户，持续巩固和扩大国内市场占有率。</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3</w:t>
      </w:r>
      <w:r w:rsidRPr="00132B02">
        <w:rPr>
          <w:rFonts w:asciiTheme="minorEastAsia" w:eastAsiaTheme="minorEastAsia" w:hAnsiTheme="minorEastAsia" w:cs="Times New Roman" w:hint="eastAsia"/>
          <w:sz w:val="18"/>
          <w:szCs w:val="18"/>
        </w:rPr>
        <w:t>、</w:t>
      </w:r>
      <w:proofErr w:type="gramStart"/>
      <w:r w:rsidRPr="00132B02">
        <w:rPr>
          <w:rFonts w:asciiTheme="minorEastAsia" w:eastAsiaTheme="minorEastAsia" w:hAnsiTheme="minorEastAsia" w:cs="Times New Roman" w:hint="eastAsia"/>
          <w:sz w:val="18"/>
          <w:szCs w:val="18"/>
        </w:rPr>
        <w:t>数智化</w:t>
      </w:r>
      <w:proofErr w:type="gramEnd"/>
      <w:r w:rsidRPr="00132B02">
        <w:rPr>
          <w:rFonts w:asciiTheme="minorEastAsia" w:eastAsiaTheme="minorEastAsia" w:hAnsiTheme="minorEastAsia" w:cs="Times New Roman" w:hint="eastAsia"/>
          <w:sz w:val="18"/>
          <w:szCs w:val="18"/>
        </w:rPr>
        <w:t>升级。积极推行生产数据化管理，充分挖掘数据价值，扩大应用广度深度，通过流程再造、组织变革、标准改进、操作优化，提质、提效、降耗。同时，积极推进贯通产业的</w:t>
      </w:r>
      <w:proofErr w:type="gramStart"/>
      <w:r w:rsidRPr="00132B02">
        <w:rPr>
          <w:rFonts w:asciiTheme="minorEastAsia" w:eastAsiaTheme="minorEastAsia" w:hAnsiTheme="minorEastAsia" w:cs="Times New Roman" w:hint="eastAsia"/>
          <w:sz w:val="18"/>
          <w:szCs w:val="18"/>
        </w:rPr>
        <w:t>网链业务数智</w:t>
      </w:r>
      <w:proofErr w:type="gramEnd"/>
      <w:r w:rsidRPr="00132B02">
        <w:rPr>
          <w:rFonts w:asciiTheme="minorEastAsia" w:eastAsiaTheme="minorEastAsia" w:hAnsiTheme="minorEastAsia" w:cs="Times New Roman" w:hint="eastAsia"/>
          <w:sz w:val="18"/>
          <w:szCs w:val="18"/>
        </w:rPr>
        <w:t>化平台建设，为共享产业打下基础。</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4</w:t>
      </w:r>
      <w:r w:rsidRPr="00132B02">
        <w:rPr>
          <w:rFonts w:asciiTheme="minorEastAsia" w:eastAsiaTheme="minorEastAsia" w:hAnsiTheme="minorEastAsia" w:cs="Times New Roman" w:hint="eastAsia"/>
          <w:sz w:val="18"/>
          <w:szCs w:val="18"/>
        </w:rPr>
        <w:t>、实施绿色低碳战略。从原料替代、产品开发、循环利用、能效提升等维</w:t>
      </w:r>
      <w:proofErr w:type="gramStart"/>
      <w:r w:rsidRPr="00132B02">
        <w:rPr>
          <w:rFonts w:asciiTheme="minorEastAsia" w:eastAsiaTheme="minorEastAsia" w:hAnsiTheme="minorEastAsia" w:cs="Times New Roman" w:hint="eastAsia"/>
          <w:sz w:val="18"/>
          <w:szCs w:val="18"/>
        </w:rPr>
        <w:t>度全面</w:t>
      </w:r>
      <w:proofErr w:type="gramEnd"/>
      <w:r w:rsidRPr="00132B02">
        <w:rPr>
          <w:rFonts w:asciiTheme="minorEastAsia" w:eastAsiaTheme="minorEastAsia" w:hAnsiTheme="minorEastAsia" w:cs="Times New Roman" w:hint="eastAsia"/>
          <w:sz w:val="18"/>
          <w:szCs w:val="18"/>
        </w:rPr>
        <w:t>推进绿色低碳战略实施，按既定计划推进清洁用能。</w:t>
      </w:r>
    </w:p>
    <w:p w:rsidR="00BE788E" w:rsidRPr="00132B02" w:rsidRDefault="00BE788E" w:rsidP="00132B02">
      <w:pPr>
        <w:pStyle w:val="a3"/>
        <w:spacing w:before="0" w:beforeAutospacing="0" w:after="0" w:afterAutospacing="0"/>
        <w:ind w:firstLine="357"/>
        <w:divId w:val="1153570879"/>
        <w:rPr>
          <w:rFonts w:asciiTheme="minorEastAsia" w:eastAsiaTheme="minorEastAsia" w:hAnsiTheme="minorEastAsia" w:cs="Times New Roman"/>
        </w:rPr>
      </w:pPr>
      <w:r w:rsidRPr="00132B02">
        <w:rPr>
          <w:rFonts w:asciiTheme="minorEastAsia" w:eastAsiaTheme="minorEastAsia" w:hAnsiTheme="minorEastAsia" w:cs="Times New Roman"/>
          <w:sz w:val="18"/>
          <w:szCs w:val="18"/>
        </w:rPr>
        <w:t>5</w:t>
      </w:r>
      <w:r w:rsidRPr="00132B02">
        <w:rPr>
          <w:rFonts w:asciiTheme="minorEastAsia" w:eastAsiaTheme="minorEastAsia" w:hAnsiTheme="minorEastAsia" w:cs="Times New Roman" w:hint="eastAsia"/>
          <w:sz w:val="18"/>
          <w:szCs w:val="18"/>
        </w:rPr>
        <w:t>、</w:t>
      </w:r>
      <w:proofErr w:type="gramStart"/>
      <w:r w:rsidRPr="00132B02">
        <w:rPr>
          <w:rFonts w:asciiTheme="minorEastAsia" w:eastAsiaTheme="minorEastAsia" w:hAnsiTheme="minorEastAsia" w:cs="Times New Roman" w:hint="eastAsia"/>
          <w:sz w:val="18"/>
          <w:szCs w:val="18"/>
        </w:rPr>
        <w:t>布局算力新</w:t>
      </w:r>
      <w:proofErr w:type="gramEnd"/>
      <w:r w:rsidRPr="00132B02">
        <w:rPr>
          <w:rFonts w:asciiTheme="minorEastAsia" w:eastAsiaTheme="minorEastAsia" w:hAnsiTheme="minorEastAsia" w:cs="Times New Roman" w:hint="eastAsia"/>
          <w:sz w:val="18"/>
          <w:szCs w:val="18"/>
        </w:rPr>
        <w:t>赛道。投资建设上虞</w:t>
      </w:r>
      <w:r w:rsidRPr="00132B02">
        <w:rPr>
          <w:rFonts w:asciiTheme="minorEastAsia" w:eastAsiaTheme="minorEastAsia" w:hAnsiTheme="minorEastAsia" w:cs="Times New Roman"/>
          <w:sz w:val="18"/>
          <w:szCs w:val="18"/>
        </w:rPr>
        <w:t>AIGC</w:t>
      </w:r>
      <w:proofErr w:type="gramStart"/>
      <w:r w:rsidRPr="00132B02">
        <w:rPr>
          <w:rFonts w:asciiTheme="minorEastAsia" w:eastAsiaTheme="minorEastAsia" w:hAnsiTheme="minorEastAsia" w:cs="Times New Roman" w:hint="eastAsia"/>
          <w:sz w:val="18"/>
          <w:szCs w:val="18"/>
        </w:rPr>
        <w:t>智算中心</w:t>
      </w:r>
      <w:proofErr w:type="gramEnd"/>
      <w:r w:rsidRPr="00132B02">
        <w:rPr>
          <w:rFonts w:asciiTheme="minorEastAsia" w:eastAsiaTheme="minorEastAsia" w:hAnsiTheme="minorEastAsia" w:cs="Times New Roman" w:hint="eastAsia"/>
          <w:sz w:val="18"/>
          <w:szCs w:val="18"/>
        </w:rPr>
        <w:t>项目及新疆阿克苏城市</w:t>
      </w:r>
      <w:proofErr w:type="gramStart"/>
      <w:r w:rsidRPr="00132B02">
        <w:rPr>
          <w:rFonts w:asciiTheme="minorEastAsia" w:eastAsiaTheme="minorEastAsia" w:hAnsiTheme="minorEastAsia" w:cs="Times New Roman" w:hint="eastAsia"/>
          <w:sz w:val="18"/>
          <w:szCs w:val="18"/>
        </w:rPr>
        <w:t>公共算力平台</w:t>
      </w:r>
      <w:proofErr w:type="gramEnd"/>
      <w:r w:rsidRPr="00132B02">
        <w:rPr>
          <w:rFonts w:asciiTheme="minorEastAsia" w:eastAsiaTheme="minorEastAsia" w:hAnsiTheme="minorEastAsia" w:cs="Times New Roman" w:hint="eastAsia"/>
          <w:sz w:val="18"/>
          <w:szCs w:val="18"/>
        </w:rPr>
        <w:t>项目，建成后将通过加强与高校、科研院所、行业各领域优势企业合作，</w:t>
      </w:r>
      <w:proofErr w:type="gramStart"/>
      <w:r w:rsidRPr="00132B02">
        <w:rPr>
          <w:rFonts w:asciiTheme="minorEastAsia" w:eastAsiaTheme="minorEastAsia" w:hAnsiTheme="minorEastAsia" w:cs="Times New Roman" w:hint="eastAsia"/>
          <w:sz w:val="18"/>
          <w:szCs w:val="18"/>
        </w:rPr>
        <w:t>提供算力租赁</w:t>
      </w:r>
      <w:proofErr w:type="gramEnd"/>
      <w:r w:rsidRPr="00132B02">
        <w:rPr>
          <w:rFonts w:asciiTheme="minorEastAsia" w:eastAsiaTheme="minorEastAsia" w:hAnsiTheme="minorEastAsia" w:cs="Times New Roman" w:hint="eastAsia"/>
          <w:sz w:val="18"/>
          <w:szCs w:val="18"/>
        </w:rPr>
        <w:t>服务；同时，公司将吸纳培育数据处理、数据分析、运营服务等领域的人才，将数字化和虚拟化技术应用于纺织服装设计和生产领域。</w:t>
      </w:r>
    </w:p>
    <w:p w:rsidR="00037019" w:rsidRDefault="00BE788E">
      <w:pPr>
        <w:pStyle w:val="2"/>
        <w:spacing w:before="300" w:after="300" w:line="320" w:lineRule="exact"/>
        <w:rPr>
          <w:rFonts w:ascii="宋体" w:eastAsia="宋体" w:hAnsi="宋体" w:cs="宋体"/>
          <w:b/>
          <w:bCs/>
          <w:sz w:val="24"/>
          <w:szCs w:val="24"/>
        </w:rPr>
      </w:pPr>
      <w:bookmarkStart w:id="52" w:name="_Toc988941"/>
      <w:r>
        <w:rPr>
          <w:rFonts w:ascii="宋体" w:eastAsia="宋体" w:hAnsi="宋体" w:cs="宋体"/>
          <w:b/>
          <w:bCs/>
          <w:sz w:val="24"/>
          <w:szCs w:val="24"/>
        </w:rPr>
        <w:t>十二、“质量回报双提升”行动方案贯彻落实情况</w:t>
      </w:r>
      <w:bookmarkEnd w:id="5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公司是否披露了“质量回报双提升”行动方案公告。</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53" w:name="_Toc988942"/>
      <w:r>
        <w:rPr>
          <w:rFonts w:ascii="宋体" w:eastAsia="宋体" w:hAnsi="宋体" w:cs="宋体"/>
          <w:b/>
          <w:bCs/>
          <w:sz w:val="32"/>
          <w:szCs w:val="32"/>
        </w:rPr>
        <w:lastRenderedPageBreak/>
        <w:t>第四节 公司治理</w:t>
      </w:r>
      <w:bookmarkEnd w:id="53"/>
    </w:p>
    <w:p w:rsidR="00037019" w:rsidRDefault="00BE788E">
      <w:pPr>
        <w:pStyle w:val="2"/>
        <w:spacing w:before="300" w:after="300" w:line="320" w:lineRule="exact"/>
        <w:rPr>
          <w:rFonts w:ascii="宋体" w:eastAsia="宋体" w:hAnsi="宋体" w:cs="宋体"/>
          <w:b/>
          <w:bCs/>
          <w:sz w:val="24"/>
          <w:szCs w:val="24"/>
        </w:rPr>
      </w:pPr>
      <w:bookmarkStart w:id="54" w:name="_Toc988943"/>
      <w:r>
        <w:rPr>
          <w:rFonts w:ascii="宋体" w:eastAsia="宋体" w:hAnsi="宋体" w:cs="宋体"/>
          <w:b/>
          <w:bCs/>
          <w:sz w:val="24"/>
          <w:szCs w:val="24"/>
        </w:rPr>
        <w:t>一、报告期内召开的年度股东大会和临时股东大会的有关情况</w:t>
      </w:r>
      <w:bookmarkEnd w:id="54"/>
    </w:p>
    <w:p w:rsidR="00037019" w:rsidRDefault="00BE788E">
      <w:pPr>
        <w:pStyle w:val="3"/>
        <w:spacing w:line="280" w:lineRule="exact"/>
        <w:jc w:val="left"/>
        <w:rPr>
          <w:rFonts w:ascii="宋体" w:hAnsi="宋体" w:cs="宋体"/>
          <w:b/>
          <w:bCs/>
        </w:rPr>
      </w:pPr>
      <w:bookmarkStart w:id="55" w:name="_Toc988944"/>
      <w:r>
        <w:rPr>
          <w:rFonts w:ascii="宋体" w:hAnsi="宋体" w:cs="宋体"/>
          <w:b/>
          <w:bCs/>
        </w:rPr>
        <w:t>1、本报告期股东大会情况</w:t>
      </w:r>
      <w:bookmarkEnd w:id="5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992"/>
        <w:gridCol w:w="1701"/>
        <w:gridCol w:w="1134"/>
        <w:gridCol w:w="992"/>
        <w:gridCol w:w="3861"/>
      </w:tblGrid>
      <w:tr w:rsidR="00037019" w:rsidTr="00132B02">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会议届次</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会议类型</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投资者参与比例</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386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会议决议</w:t>
            </w:r>
          </w:p>
        </w:tc>
      </w:tr>
      <w:tr w:rsidR="00037019" w:rsidTr="00132B02">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2023年年度股东大会</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年度股东大会</w:t>
            </w:r>
          </w:p>
        </w:tc>
        <w:tc>
          <w:tcPr>
            <w:tcW w:w="170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43.02%</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2024年05月24日</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2024年05月25日</w:t>
            </w:r>
          </w:p>
        </w:tc>
        <w:tc>
          <w:tcPr>
            <w:tcW w:w="386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详见公司于2024年5月25日刊登在指定信息披露媒体《证券时报》、《中国证券报》和巨潮资讯网（http://www.cninfo.com.cn）的《2023年年度股东大会决议公告》（2024-37）</w:t>
            </w:r>
          </w:p>
        </w:tc>
      </w:tr>
    </w:tbl>
    <w:p w:rsidR="00037019" w:rsidRDefault="00BE788E">
      <w:pPr>
        <w:pStyle w:val="3"/>
        <w:spacing w:line="280" w:lineRule="exact"/>
        <w:jc w:val="left"/>
        <w:rPr>
          <w:rFonts w:ascii="宋体" w:hAnsi="宋体" w:cs="宋体"/>
          <w:b/>
          <w:bCs/>
        </w:rPr>
      </w:pPr>
      <w:bookmarkStart w:id="56" w:name="_Toc988945"/>
      <w:r>
        <w:rPr>
          <w:rFonts w:ascii="宋体" w:hAnsi="宋体" w:cs="宋体"/>
          <w:b/>
          <w:bCs/>
        </w:rPr>
        <w:t>2、表决权恢复的优先股股东请求召开临时股东大会</w:t>
      </w:r>
      <w:bookmarkEnd w:id="5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57" w:name="_Toc988946"/>
      <w:r>
        <w:rPr>
          <w:rFonts w:ascii="宋体" w:eastAsia="宋体" w:hAnsi="宋体" w:cs="宋体"/>
          <w:b/>
          <w:bCs/>
          <w:sz w:val="24"/>
          <w:szCs w:val="24"/>
        </w:rPr>
        <w:t>二、公司董事、监事、高级管理人员变动情况</w:t>
      </w:r>
      <w:bookmarkEnd w:id="5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担任的职务</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日期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高卫东</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离任</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个人原因离任</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宋海涛</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根据公司章程选举</w:t>
            </w:r>
          </w:p>
        </w:tc>
      </w:tr>
    </w:tbl>
    <w:p w:rsidR="00037019" w:rsidRDefault="00BE788E">
      <w:pPr>
        <w:pStyle w:val="2"/>
        <w:spacing w:before="300" w:after="300" w:line="320" w:lineRule="exact"/>
        <w:rPr>
          <w:rFonts w:ascii="宋体" w:eastAsia="宋体" w:hAnsi="宋体" w:cs="宋体"/>
          <w:b/>
          <w:bCs/>
          <w:sz w:val="24"/>
          <w:szCs w:val="24"/>
        </w:rPr>
      </w:pPr>
      <w:bookmarkStart w:id="58" w:name="_Toc988947"/>
      <w:r>
        <w:rPr>
          <w:rFonts w:ascii="宋体" w:eastAsia="宋体" w:hAnsi="宋体" w:cs="宋体"/>
          <w:b/>
          <w:bCs/>
          <w:sz w:val="24"/>
          <w:szCs w:val="24"/>
        </w:rPr>
        <w:t>三、本报告期利润分配及资本公积金转增股本情况</w:t>
      </w:r>
      <w:bookmarkEnd w:id="58"/>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公司计划半年度</w:t>
      </w:r>
      <w:proofErr w:type="gramStart"/>
      <w:r>
        <w:rPr>
          <w:rFonts w:ascii="宋体" w:eastAsia="宋体" w:hAnsi="宋体" w:cs="宋体"/>
          <w:sz w:val="18"/>
          <w:szCs w:val="18"/>
        </w:rPr>
        <w:t>不</w:t>
      </w:r>
      <w:proofErr w:type="gramEnd"/>
      <w:r>
        <w:rPr>
          <w:rFonts w:ascii="宋体" w:eastAsia="宋体" w:hAnsi="宋体" w:cs="宋体"/>
          <w:sz w:val="18"/>
          <w:szCs w:val="18"/>
        </w:rPr>
        <w:t>派发现金红利，不送红股，不以公积金转增股本。</w:t>
      </w:r>
    </w:p>
    <w:p w:rsidR="00037019" w:rsidRDefault="00BE788E">
      <w:pPr>
        <w:pStyle w:val="2"/>
        <w:spacing w:before="300" w:after="300" w:line="320" w:lineRule="exact"/>
        <w:rPr>
          <w:rFonts w:ascii="宋体" w:eastAsia="宋体" w:hAnsi="宋体" w:cs="宋体"/>
          <w:b/>
          <w:bCs/>
          <w:sz w:val="24"/>
          <w:szCs w:val="24"/>
        </w:rPr>
      </w:pPr>
      <w:bookmarkStart w:id="59" w:name="_Toc988948"/>
      <w:r>
        <w:rPr>
          <w:rFonts w:ascii="宋体" w:eastAsia="宋体" w:hAnsi="宋体" w:cs="宋体"/>
          <w:b/>
          <w:bCs/>
          <w:sz w:val="24"/>
          <w:szCs w:val="24"/>
        </w:rPr>
        <w:t>四、公司股权激励计划、员工持股计划或其他员工激励措施的实施情况</w:t>
      </w:r>
      <w:bookmarkEnd w:id="59"/>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公司报告期无股权激励计划、员工持股计划或其他员工激励措施及其实施情况。</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60" w:name="_Toc988949"/>
      <w:r>
        <w:rPr>
          <w:rFonts w:ascii="宋体" w:eastAsia="宋体" w:hAnsi="宋体" w:cs="宋体"/>
          <w:b/>
          <w:bCs/>
          <w:sz w:val="32"/>
          <w:szCs w:val="32"/>
        </w:rPr>
        <w:lastRenderedPageBreak/>
        <w:t>第五节 环境和社会责任</w:t>
      </w:r>
      <w:bookmarkEnd w:id="60"/>
    </w:p>
    <w:p w:rsidR="00037019" w:rsidRDefault="00BE788E">
      <w:pPr>
        <w:pStyle w:val="2"/>
        <w:spacing w:before="300" w:after="300" w:line="320" w:lineRule="exact"/>
        <w:rPr>
          <w:rFonts w:ascii="宋体" w:eastAsia="宋体" w:hAnsi="宋体" w:cs="宋体"/>
          <w:b/>
          <w:bCs/>
          <w:sz w:val="24"/>
          <w:szCs w:val="24"/>
        </w:rPr>
      </w:pPr>
      <w:bookmarkStart w:id="61" w:name="_Toc988950"/>
      <w:r>
        <w:rPr>
          <w:rFonts w:ascii="宋体" w:eastAsia="宋体" w:hAnsi="宋体" w:cs="宋体"/>
          <w:b/>
          <w:bCs/>
          <w:sz w:val="24"/>
          <w:szCs w:val="24"/>
        </w:rPr>
        <w:t>一、重大环保问题情况</w:t>
      </w:r>
      <w:bookmarkEnd w:id="61"/>
    </w:p>
    <w:p w:rsidR="00037019" w:rsidRPr="00897859" w:rsidRDefault="00BE788E">
      <w:pPr>
        <w:spacing w:before="40" w:after="40" w:line="240" w:lineRule="exact"/>
        <w:rPr>
          <w:rFonts w:asciiTheme="minorEastAsia" w:hAnsiTheme="minorEastAsia" w:cs="宋体"/>
          <w:sz w:val="18"/>
          <w:szCs w:val="18"/>
        </w:rPr>
      </w:pPr>
      <w:r w:rsidRPr="00897859">
        <w:rPr>
          <w:rFonts w:asciiTheme="minorEastAsia" w:hAnsiTheme="minorEastAsia" w:cs="宋体"/>
          <w:sz w:val="18"/>
          <w:szCs w:val="18"/>
        </w:rPr>
        <w:t>上市公司及其子公司是否属于环境保护部门公布的重点排污单位</w:t>
      </w:r>
    </w:p>
    <w:p w:rsidR="00037019" w:rsidRPr="00897859" w:rsidRDefault="00BE788E">
      <w:pPr>
        <w:spacing w:before="40" w:after="40" w:line="240" w:lineRule="exact"/>
        <w:rPr>
          <w:rFonts w:asciiTheme="minorEastAsia" w:hAnsiTheme="minorEastAsia" w:cs="宋体"/>
          <w:sz w:val="18"/>
          <w:szCs w:val="18"/>
        </w:rPr>
      </w:pPr>
      <w:r w:rsidRPr="00897859">
        <w:rPr>
          <w:rFonts w:asciiTheme="minorEastAsia" w:hAnsiTheme="minorEastAsia" w:cs="宋体"/>
          <w:sz w:val="18"/>
          <w:szCs w:val="18"/>
        </w:rPr>
        <w:sym w:font="Wingdings 2" w:char="F052"/>
      </w:r>
      <w:r w:rsidRPr="00897859">
        <w:rPr>
          <w:rFonts w:asciiTheme="minorEastAsia" w:hAnsiTheme="minorEastAsia" w:cs="宋体"/>
          <w:sz w:val="18"/>
          <w:szCs w:val="18"/>
        </w:rPr>
        <w:t>是 □否</w:t>
      </w:r>
    </w:p>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环境保护相关政策和行业标准</w:t>
      </w:r>
    </w:p>
    <w:p w:rsidR="00BE788E" w:rsidRPr="00897859" w:rsidRDefault="00BE788E">
      <w:pPr>
        <w:pStyle w:val="a3"/>
        <w:spacing w:before="0" w:beforeAutospacing="0" w:after="0" w:afterAutospacing="0"/>
        <w:divId w:val="1174416301"/>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噪音执行标准《工业企业厂界环境噪音排放标准》</w:t>
      </w:r>
      <w:r w:rsidRPr="00897859">
        <w:rPr>
          <w:rFonts w:asciiTheme="minorEastAsia" w:eastAsiaTheme="minorEastAsia" w:hAnsiTheme="minorEastAsia" w:cs="Calibri"/>
          <w:sz w:val="18"/>
          <w:szCs w:val="18"/>
        </w:rPr>
        <w:t>GB12348-2008</w:t>
      </w:r>
    </w:p>
    <w:p w:rsidR="00BE788E" w:rsidRPr="00897859" w:rsidRDefault="00BE788E">
      <w:pPr>
        <w:pStyle w:val="a3"/>
        <w:spacing w:before="0" w:beforeAutospacing="0" w:after="0" w:afterAutospacing="0"/>
        <w:divId w:val="1174416301"/>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污水执行标准《纺织染整工业水污染物排放标准》</w:t>
      </w:r>
      <w:r w:rsidRPr="00897859">
        <w:rPr>
          <w:rFonts w:asciiTheme="minorEastAsia" w:eastAsiaTheme="minorEastAsia" w:hAnsiTheme="minorEastAsia" w:cs="Calibri"/>
          <w:sz w:val="18"/>
          <w:szCs w:val="18"/>
        </w:rPr>
        <w:t>GB4287-2012</w:t>
      </w:r>
      <w:r w:rsidRPr="00897859">
        <w:rPr>
          <w:rFonts w:asciiTheme="minorEastAsia" w:eastAsiaTheme="minorEastAsia" w:hAnsiTheme="minorEastAsia" w:cs="Calibri" w:hint="eastAsia"/>
          <w:sz w:val="18"/>
          <w:szCs w:val="18"/>
        </w:rPr>
        <w:t>及其修改单</w:t>
      </w:r>
    </w:p>
    <w:p w:rsidR="00BE788E" w:rsidRPr="00897859" w:rsidRDefault="00BE788E">
      <w:pPr>
        <w:pStyle w:val="a3"/>
        <w:spacing w:before="0" w:beforeAutospacing="0" w:after="0" w:afterAutospacing="0"/>
        <w:divId w:val="1174416301"/>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废气（染厂车间）执行标准《纺织染整工业大气污染物排放标准》</w:t>
      </w:r>
      <w:r w:rsidRPr="00897859">
        <w:rPr>
          <w:rFonts w:asciiTheme="minorEastAsia" w:eastAsiaTheme="minorEastAsia" w:hAnsiTheme="minorEastAsia" w:cs="Calibri"/>
          <w:sz w:val="18"/>
          <w:szCs w:val="18"/>
        </w:rPr>
        <w:t>DB33/962-2015</w:t>
      </w:r>
    </w:p>
    <w:p w:rsidR="00BE788E" w:rsidRPr="00897859" w:rsidRDefault="00BE788E">
      <w:pPr>
        <w:pStyle w:val="a3"/>
        <w:spacing w:before="0" w:beforeAutospacing="0" w:after="0" w:afterAutospacing="0"/>
        <w:divId w:val="1174416301"/>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废气（厂界）《大气污染物综合排放标准》</w:t>
      </w:r>
      <w:r w:rsidRPr="00897859">
        <w:rPr>
          <w:rFonts w:asciiTheme="minorEastAsia" w:eastAsiaTheme="minorEastAsia" w:hAnsiTheme="minorEastAsia" w:cs="Calibri"/>
          <w:sz w:val="18"/>
          <w:szCs w:val="18"/>
        </w:rPr>
        <w:t>GB16297-1996</w:t>
      </w:r>
    </w:p>
    <w:p w:rsidR="00BE788E" w:rsidRPr="00897859" w:rsidRDefault="00BE788E">
      <w:pPr>
        <w:pStyle w:val="a3"/>
        <w:spacing w:before="0" w:beforeAutospacing="0" w:after="0" w:afterAutospacing="0"/>
        <w:divId w:val="1174416301"/>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废气（污水站）《恶臭污染物排放标准》</w:t>
      </w:r>
      <w:r w:rsidRPr="00897859">
        <w:rPr>
          <w:rFonts w:asciiTheme="minorEastAsia" w:eastAsiaTheme="minorEastAsia" w:hAnsiTheme="minorEastAsia" w:cs="Calibri"/>
          <w:sz w:val="18"/>
          <w:szCs w:val="18"/>
        </w:rPr>
        <w:t>GB14554-93</w:t>
      </w:r>
    </w:p>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环境保护行政许可情况</w:t>
      </w:r>
    </w:p>
    <w:p w:rsidR="00BE788E" w:rsidRPr="00897859" w:rsidRDefault="00BE788E">
      <w:pPr>
        <w:pStyle w:val="a3"/>
        <w:spacing w:beforeAutospacing="0" w:afterAutospacing="0" w:line="240" w:lineRule="atLeast"/>
        <w:divId w:val="639454495"/>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公司下属两家子公司属于环保重点管理单位，已申领排污许可证。</w:t>
      </w:r>
    </w:p>
    <w:p w:rsidR="00BE788E" w:rsidRPr="00897859" w:rsidRDefault="00BE788E">
      <w:pPr>
        <w:pStyle w:val="a3"/>
        <w:spacing w:before="0" w:beforeAutospacing="0" w:after="0" w:afterAutospacing="0"/>
        <w:divId w:val="639454495"/>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浙江社标纤维有限公司排污许可证有效期</w:t>
      </w:r>
      <w:r w:rsidRPr="00897859">
        <w:rPr>
          <w:rFonts w:asciiTheme="minorEastAsia" w:eastAsiaTheme="minorEastAsia" w:hAnsiTheme="minorEastAsia" w:cs="Calibri"/>
          <w:sz w:val="18"/>
          <w:szCs w:val="18"/>
        </w:rPr>
        <w:t>2022</w:t>
      </w:r>
      <w:r w:rsidRPr="00897859">
        <w:rPr>
          <w:rFonts w:asciiTheme="minorEastAsia" w:eastAsiaTheme="minorEastAsia" w:hAnsiTheme="minorEastAsia" w:cs="Calibri" w:hint="eastAsia"/>
          <w:sz w:val="18"/>
          <w:szCs w:val="18"/>
        </w:rPr>
        <w:t>年</w:t>
      </w:r>
      <w:r w:rsidRPr="00897859">
        <w:rPr>
          <w:rFonts w:asciiTheme="minorEastAsia" w:eastAsiaTheme="minorEastAsia" w:hAnsiTheme="minorEastAsia" w:cs="Calibri"/>
          <w:sz w:val="18"/>
          <w:szCs w:val="18"/>
        </w:rPr>
        <w:t>8</w:t>
      </w:r>
      <w:r w:rsidRPr="00897859">
        <w:rPr>
          <w:rFonts w:asciiTheme="minorEastAsia" w:eastAsiaTheme="minorEastAsia" w:hAnsiTheme="minorEastAsia" w:cs="Calibri" w:hint="eastAsia"/>
          <w:sz w:val="18"/>
          <w:szCs w:val="18"/>
        </w:rPr>
        <w:t>月</w:t>
      </w:r>
      <w:r w:rsidRPr="00897859">
        <w:rPr>
          <w:rFonts w:asciiTheme="minorEastAsia" w:eastAsiaTheme="minorEastAsia" w:hAnsiTheme="minorEastAsia" w:cs="Calibri"/>
          <w:sz w:val="18"/>
          <w:szCs w:val="18"/>
        </w:rPr>
        <w:t>4</w:t>
      </w:r>
      <w:r w:rsidRPr="00897859">
        <w:rPr>
          <w:rFonts w:asciiTheme="minorEastAsia" w:eastAsiaTheme="minorEastAsia" w:hAnsiTheme="minorEastAsia" w:cs="Calibri" w:hint="eastAsia"/>
          <w:sz w:val="18"/>
          <w:szCs w:val="18"/>
        </w:rPr>
        <w:t>日至</w:t>
      </w:r>
      <w:r w:rsidRPr="00897859">
        <w:rPr>
          <w:rFonts w:asciiTheme="minorEastAsia" w:eastAsiaTheme="minorEastAsia" w:hAnsiTheme="minorEastAsia" w:cs="Calibri"/>
          <w:sz w:val="18"/>
          <w:szCs w:val="18"/>
        </w:rPr>
        <w:t>2027</w:t>
      </w:r>
      <w:r w:rsidRPr="00897859">
        <w:rPr>
          <w:rFonts w:asciiTheme="minorEastAsia" w:eastAsiaTheme="minorEastAsia" w:hAnsiTheme="minorEastAsia" w:cs="Calibri" w:hint="eastAsia"/>
          <w:sz w:val="18"/>
          <w:szCs w:val="18"/>
        </w:rPr>
        <w:t>年</w:t>
      </w:r>
      <w:r w:rsidRPr="00897859">
        <w:rPr>
          <w:rFonts w:asciiTheme="minorEastAsia" w:eastAsiaTheme="minorEastAsia" w:hAnsiTheme="minorEastAsia" w:cs="Calibri"/>
          <w:sz w:val="18"/>
          <w:szCs w:val="18"/>
        </w:rPr>
        <w:t>8</w:t>
      </w:r>
      <w:r w:rsidRPr="00897859">
        <w:rPr>
          <w:rFonts w:asciiTheme="minorEastAsia" w:eastAsiaTheme="minorEastAsia" w:hAnsiTheme="minorEastAsia" w:cs="Calibri" w:hint="eastAsia"/>
          <w:sz w:val="18"/>
          <w:szCs w:val="18"/>
        </w:rPr>
        <w:t>月</w:t>
      </w:r>
      <w:r w:rsidRPr="00897859">
        <w:rPr>
          <w:rFonts w:asciiTheme="minorEastAsia" w:eastAsiaTheme="minorEastAsia" w:hAnsiTheme="minorEastAsia" w:cs="Calibri"/>
          <w:sz w:val="18"/>
          <w:szCs w:val="18"/>
        </w:rPr>
        <w:t>3</w:t>
      </w:r>
      <w:r w:rsidRPr="00897859">
        <w:rPr>
          <w:rFonts w:asciiTheme="minorEastAsia" w:eastAsiaTheme="minorEastAsia" w:hAnsiTheme="minorEastAsia" w:cs="Calibri" w:hint="eastAsia"/>
          <w:sz w:val="18"/>
          <w:szCs w:val="18"/>
        </w:rPr>
        <w:t>日</w:t>
      </w:r>
    </w:p>
    <w:p w:rsidR="00BE788E" w:rsidRPr="00897859" w:rsidRDefault="00BE788E">
      <w:pPr>
        <w:pStyle w:val="a3"/>
        <w:spacing w:before="0" w:beforeAutospacing="0" w:after="0" w:afterAutospacing="0"/>
        <w:divId w:val="639454495"/>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阿克苏</w:t>
      </w:r>
      <w:proofErr w:type="gramStart"/>
      <w:r w:rsidRPr="00897859">
        <w:rPr>
          <w:rFonts w:asciiTheme="minorEastAsia" w:eastAsiaTheme="minorEastAsia" w:hAnsiTheme="minorEastAsia" w:cs="Calibri" w:hint="eastAsia"/>
          <w:sz w:val="18"/>
          <w:szCs w:val="18"/>
        </w:rPr>
        <w:t>标信纤维</w:t>
      </w:r>
      <w:proofErr w:type="gramEnd"/>
      <w:r w:rsidRPr="00897859">
        <w:rPr>
          <w:rFonts w:asciiTheme="minorEastAsia" w:eastAsiaTheme="minorEastAsia" w:hAnsiTheme="minorEastAsia" w:cs="Calibri" w:hint="eastAsia"/>
          <w:sz w:val="18"/>
          <w:szCs w:val="18"/>
        </w:rPr>
        <w:t>有限公司排污许可证有效期</w:t>
      </w:r>
      <w:r w:rsidRPr="00897859">
        <w:rPr>
          <w:rFonts w:asciiTheme="minorEastAsia" w:eastAsiaTheme="minorEastAsia" w:hAnsiTheme="minorEastAsia" w:cs="Calibri"/>
          <w:sz w:val="18"/>
          <w:szCs w:val="18"/>
        </w:rPr>
        <w:t>2022</w:t>
      </w:r>
      <w:r w:rsidRPr="00897859">
        <w:rPr>
          <w:rFonts w:asciiTheme="minorEastAsia" w:eastAsiaTheme="minorEastAsia" w:hAnsiTheme="minorEastAsia" w:cs="Calibri" w:hint="eastAsia"/>
          <w:sz w:val="18"/>
          <w:szCs w:val="18"/>
        </w:rPr>
        <w:t>年</w:t>
      </w:r>
      <w:r w:rsidRPr="00897859">
        <w:rPr>
          <w:rFonts w:asciiTheme="minorEastAsia" w:eastAsiaTheme="minorEastAsia" w:hAnsiTheme="minorEastAsia" w:cs="Calibri"/>
          <w:sz w:val="18"/>
          <w:szCs w:val="18"/>
        </w:rPr>
        <w:t>2</w:t>
      </w:r>
      <w:r w:rsidRPr="00897859">
        <w:rPr>
          <w:rFonts w:asciiTheme="minorEastAsia" w:eastAsiaTheme="minorEastAsia" w:hAnsiTheme="minorEastAsia" w:cs="Calibri" w:hint="eastAsia"/>
          <w:sz w:val="18"/>
          <w:szCs w:val="18"/>
        </w:rPr>
        <w:t>月</w:t>
      </w:r>
      <w:r w:rsidRPr="00897859">
        <w:rPr>
          <w:rFonts w:asciiTheme="minorEastAsia" w:eastAsiaTheme="minorEastAsia" w:hAnsiTheme="minorEastAsia" w:cs="Calibri"/>
          <w:sz w:val="18"/>
          <w:szCs w:val="18"/>
        </w:rPr>
        <w:t>3</w:t>
      </w:r>
      <w:r w:rsidRPr="00897859">
        <w:rPr>
          <w:rFonts w:asciiTheme="minorEastAsia" w:eastAsiaTheme="minorEastAsia" w:hAnsiTheme="minorEastAsia" w:cs="Calibri" w:hint="eastAsia"/>
          <w:sz w:val="18"/>
          <w:szCs w:val="18"/>
        </w:rPr>
        <w:t>日至</w:t>
      </w:r>
      <w:r w:rsidRPr="00897859">
        <w:rPr>
          <w:rFonts w:asciiTheme="minorEastAsia" w:eastAsiaTheme="minorEastAsia" w:hAnsiTheme="minorEastAsia" w:cs="Calibri"/>
          <w:sz w:val="18"/>
          <w:szCs w:val="18"/>
        </w:rPr>
        <w:t>2027</w:t>
      </w:r>
      <w:r w:rsidRPr="00897859">
        <w:rPr>
          <w:rFonts w:asciiTheme="minorEastAsia" w:eastAsiaTheme="minorEastAsia" w:hAnsiTheme="minorEastAsia" w:cs="Calibri" w:hint="eastAsia"/>
          <w:sz w:val="18"/>
          <w:szCs w:val="18"/>
        </w:rPr>
        <w:t>年</w:t>
      </w:r>
      <w:r w:rsidRPr="00897859">
        <w:rPr>
          <w:rFonts w:asciiTheme="minorEastAsia" w:eastAsiaTheme="minorEastAsia" w:hAnsiTheme="minorEastAsia" w:cs="Calibri"/>
          <w:sz w:val="18"/>
          <w:szCs w:val="18"/>
        </w:rPr>
        <w:t>2</w:t>
      </w:r>
      <w:r w:rsidRPr="00897859">
        <w:rPr>
          <w:rFonts w:asciiTheme="minorEastAsia" w:eastAsiaTheme="minorEastAsia" w:hAnsiTheme="minorEastAsia" w:cs="Calibri" w:hint="eastAsia"/>
          <w:sz w:val="18"/>
          <w:szCs w:val="18"/>
        </w:rPr>
        <w:t>月</w:t>
      </w:r>
      <w:r w:rsidRPr="00897859">
        <w:rPr>
          <w:rFonts w:asciiTheme="minorEastAsia" w:eastAsiaTheme="minorEastAsia" w:hAnsiTheme="minorEastAsia" w:cs="Calibri"/>
          <w:sz w:val="18"/>
          <w:szCs w:val="18"/>
        </w:rPr>
        <w:t>2</w:t>
      </w:r>
      <w:r w:rsidRPr="00897859">
        <w:rPr>
          <w:rFonts w:asciiTheme="minorEastAsia" w:eastAsiaTheme="minorEastAsia" w:hAnsiTheme="minorEastAsia" w:cs="Calibri" w:hint="eastAsia"/>
          <w:sz w:val="18"/>
          <w:szCs w:val="18"/>
        </w:rPr>
        <w:t>日</w:t>
      </w:r>
    </w:p>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行业排放标准及生产经营活动中涉及的污染物排放的具体情况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公司或子公司名称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主要污染物及特征污染物的种类</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排放方式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排放口数量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排放口分布情况</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排放浓度/强度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执行的污染物排放标准</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核定的排放总量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超标排放情况</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COD、氨氮</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厂区总</w:t>
            </w:r>
            <w:proofErr w:type="gramEnd"/>
            <w:r>
              <w:rPr>
                <w:rFonts w:ascii="宋体" w:eastAsia="宋体" w:hAnsi="宋体" w:cs="宋体"/>
                <w:sz w:val="18"/>
                <w:szCs w:val="18"/>
              </w:rPr>
              <w:t>口</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COD200mg/L;氨氮20mg/L</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 ：15.794吨；氨氮0.154吨</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 ：312吨；氨氮：31.2吨；</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无</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COD、氨氮</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厂区总</w:t>
            </w:r>
            <w:proofErr w:type="gramEnd"/>
            <w:r>
              <w:rPr>
                <w:rFonts w:ascii="宋体" w:eastAsia="宋体" w:hAnsi="宋体" w:cs="宋体"/>
                <w:sz w:val="18"/>
                <w:szCs w:val="18"/>
              </w:rPr>
              <w:t>口</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COD200mg/L;氨氮20mg/L</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 ：23.203吨；氨氮0.369吨</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COD：168 吨氨氮： 28吨</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无</w:t>
            </w:r>
          </w:p>
        </w:tc>
      </w:tr>
    </w:tbl>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对污染物的处理</w:t>
      </w:r>
    </w:p>
    <w:p w:rsidR="00BE788E" w:rsidRPr="00897859" w:rsidRDefault="00BE788E">
      <w:pPr>
        <w:pStyle w:val="a3"/>
        <w:spacing w:before="0" w:beforeAutospacing="0" w:after="0" w:afterAutospacing="0"/>
        <w:divId w:val="973683140"/>
        <w:rPr>
          <w:rFonts w:asciiTheme="minorEastAsia" w:eastAsiaTheme="minorEastAsia" w:hAnsiTheme="minorEastAsia" w:cs="Calibri"/>
          <w:sz w:val="21"/>
          <w:szCs w:val="21"/>
        </w:rPr>
      </w:pPr>
      <w:r w:rsidRPr="00897859">
        <w:rPr>
          <w:rFonts w:asciiTheme="minorEastAsia" w:eastAsiaTheme="minorEastAsia" w:hAnsiTheme="minorEastAsia" w:cs="Calibri"/>
          <w:sz w:val="18"/>
          <w:szCs w:val="18"/>
        </w:rPr>
        <w:t>1</w:t>
      </w:r>
      <w:r w:rsidRPr="00897859">
        <w:rPr>
          <w:rFonts w:asciiTheme="minorEastAsia" w:eastAsiaTheme="minorEastAsia" w:hAnsiTheme="minorEastAsia" w:cs="Calibri" w:hint="eastAsia"/>
          <w:sz w:val="18"/>
          <w:szCs w:val="18"/>
        </w:rPr>
        <w:t>、上述两家公司均设有污水处理站。目前污水处理站运行情况良好，能够满足生产所需。</w:t>
      </w:r>
    </w:p>
    <w:p w:rsidR="00BE788E" w:rsidRPr="00897859" w:rsidRDefault="00BE788E">
      <w:pPr>
        <w:pStyle w:val="a3"/>
        <w:spacing w:before="0" w:beforeAutospacing="0" w:after="0" w:afterAutospacing="0"/>
        <w:divId w:val="973683140"/>
        <w:rPr>
          <w:rFonts w:asciiTheme="minorEastAsia" w:eastAsiaTheme="minorEastAsia" w:hAnsiTheme="minorEastAsia" w:cs="Calibri"/>
          <w:sz w:val="21"/>
          <w:szCs w:val="21"/>
        </w:rPr>
      </w:pPr>
      <w:r w:rsidRPr="00897859">
        <w:rPr>
          <w:rFonts w:asciiTheme="minorEastAsia" w:eastAsiaTheme="minorEastAsia" w:hAnsiTheme="minorEastAsia" w:cs="Calibri"/>
          <w:sz w:val="18"/>
          <w:szCs w:val="18"/>
        </w:rPr>
        <w:t>2</w:t>
      </w:r>
      <w:r w:rsidRPr="00897859">
        <w:rPr>
          <w:rFonts w:asciiTheme="minorEastAsia" w:eastAsiaTheme="minorEastAsia" w:hAnsiTheme="minorEastAsia" w:cs="Calibri" w:hint="eastAsia"/>
          <w:sz w:val="18"/>
          <w:szCs w:val="18"/>
        </w:rPr>
        <w:t>、一般固废污泥和</w:t>
      </w:r>
      <w:proofErr w:type="gramStart"/>
      <w:r w:rsidRPr="00897859">
        <w:rPr>
          <w:rFonts w:asciiTheme="minorEastAsia" w:eastAsiaTheme="minorEastAsia" w:hAnsiTheme="minorEastAsia" w:cs="Calibri" w:hint="eastAsia"/>
          <w:sz w:val="18"/>
          <w:szCs w:val="18"/>
        </w:rPr>
        <w:t>危废</w:t>
      </w:r>
      <w:proofErr w:type="gramEnd"/>
      <w:r w:rsidRPr="00897859">
        <w:rPr>
          <w:rFonts w:asciiTheme="minorEastAsia" w:eastAsiaTheme="minorEastAsia" w:hAnsiTheme="minorEastAsia" w:cs="Calibri" w:hint="eastAsia"/>
          <w:sz w:val="18"/>
          <w:szCs w:val="18"/>
        </w:rPr>
        <w:t>收集后交由具有处置资质的固</w:t>
      </w:r>
      <w:proofErr w:type="gramStart"/>
      <w:r w:rsidRPr="00897859">
        <w:rPr>
          <w:rFonts w:asciiTheme="minorEastAsia" w:eastAsiaTheme="minorEastAsia" w:hAnsiTheme="minorEastAsia" w:cs="Calibri" w:hint="eastAsia"/>
          <w:sz w:val="18"/>
          <w:szCs w:val="18"/>
        </w:rPr>
        <w:t>废处理</w:t>
      </w:r>
      <w:proofErr w:type="gramEnd"/>
      <w:r w:rsidRPr="00897859">
        <w:rPr>
          <w:rFonts w:asciiTheme="minorEastAsia" w:eastAsiaTheme="minorEastAsia" w:hAnsiTheme="minorEastAsia" w:cs="Calibri" w:hint="eastAsia"/>
          <w:sz w:val="18"/>
          <w:szCs w:val="18"/>
        </w:rPr>
        <w:t>单位处理。其他固废垃圾进行合理的综合利用和焚烧处理。</w:t>
      </w:r>
    </w:p>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突发环境事件应急预案</w:t>
      </w:r>
    </w:p>
    <w:p w:rsidR="00BE788E" w:rsidRPr="00897859" w:rsidRDefault="00BE788E">
      <w:pPr>
        <w:pStyle w:val="a3"/>
        <w:spacing w:before="0" w:beforeAutospacing="0" w:after="0" w:afterAutospacing="0"/>
        <w:divId w:val="624895579"/>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公司建立了较为完善的环境风险应急机制，对重点排污企业均制定了《突发环境污染事件综合应急预案》，并在当地政府备案，确保时间发生时能够迅速、有序、高效的进行应急处置。</w:t>
      </w:r>
    </w:p>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环境治理和保护的投入及缴纳环境保护税的相关情况</w:t>
      </w:r>
    </w:p>
    <w:p w:rsidR="00BE788E" w:rsidRPr="00897859" w:rsidRDefault="00BE788E">
      <w:pPr>
        <w:pStyle w:val="a3"/>
        <w:spacing w:before="0" w:beforeAutospacing="0" w:after="0" w:afterAutospacing="0"/>
        <w:divId w:val="363675421"/>
        <w:rPr>
          <w:rFonts w:asciiTheme="minorEastAsia" w:eastAsiaTheme="minorEastAsia" w:hAnsiTheme="minorEastAsia" w:cs="Calibri"/>
          <w:sz w:val="21"/>
          <w:szCs w:val="21"/>
        </w:rPr>
      </w:pPr>
      <w:r w:rsidRPr="00897859">
        <w:rPr>
          <w:rFonts w:asciiTheme="minorEastAsia" w:eastAsiaTheme="minorEastAsia" w:hAnsiTheme="minorEastAsia" w:cs="Calibri"/>
          <w:sz w:val="18"/>
          <w:szCs w:val="18"/>
        </w:rPr>
        <w:t>2024</w:t>
      </w:r>
      <w:r w:rsidRPr="00897859">
        <w:rPr>
          <w:rFonts w:asciiTheme="minorEastAsia" w:eastAsiaTheme="minorEastAsia" w:hAnsiTheme="minorEastAsia" w:cs="Calibri" w:hint="eastAsia"/>
          <w:sz w:val="18"/>
          <w:szCs w:val="18"/>
        </w:rPr>
        <w:t>年度上半年公司在境内环保模块合计投入约</w:t>
      </w:r>
      <w:r w:rsidRPr="00897859">
        <w:rPr>
          <w:rFonts w:asciiTheme="minorEastAsia" w:eastAsiaTheme="minorEastAsia" w:hAnsiTheme="minorEastAsia" w:cs="Calibri"/>
          <w:sz w:val="18"/>
          <w:szCs w:val="18"/>
        </w:rPr>
        <w:t>872</w:t>
      </w:r>
      <w:r w:rsidRPr="00897859">
        <w:rPr>
          <w:rFonts w:asciiTheme="minorEastAsia" w:eastAsiaTheme="minorEastAsia" w:hAnsiTheme="minorEastAsia" w:cs="Calibri" w:hint="eastAsia"/>
          <w:sz w:val="18"/>
          <w:szCs w:val="18"/>
        </w:rPr>
        <w:t>万元，其中浙江社标纤维有限公司</w:t>
      </w:r>
      <w:r w:rsidRPr="00897859">
        <w:rPr>
          <w:rFonts w:asciiTheme="minorEastAsia" w:eastAsiaTheme="minorEastAsia" w:hAnsiTheme="minorEastAsia" w:cs="Calibri"/>
          <w:sz w:val="18"/>
          <w:szCs w:val="18"/>
        </w:rPr>
        <w:t>414</w:t>
      </w:r>
      <w:r w:rsidRPr="00897859">
        <w:rPr>
          <w:rFonts w:asciiTheme="minorEastAsia" w:eastAsiaTheme="minorEastAsia" w:hAnsiTheme="minorEastAsia" w:cs="Calibri" w:hint="eastAsia"/>
          <w:sz w:val="18"/>
          <w:szCs w:val="18"/>
        </w:rPr>
        <w:t>万元，阿克苏</w:t>
      </w:r>
      <w:proofErr w:type="gramStart"/>
      <w:r w:rsidRPr="00897859">
        <w:rPr>
          <w:rFonts w:asciiTheme="minorEastAsia" w:eastAsiaTheme="minorEastAsia" w:hAnsiTheme="minorEastAsia" w:cs="Calibri" w:hint="eastAsia"/>
          <w:sz w:val="18"/>
          <w:szCs w:val="18"/>
        </w:rPr>
        <w:t>标信纤维</w:t>
      </w:r>
      <w:proofErr w:type="gramEnd"/>
      <w:r w:rsidRPr="00897859">
        <w:rPr>
          <w:rFonts w:asciiTheme="minorEastAsia" w:eastAsiaTheme="minorEastAsia" w:hAnsiTheme="minorEastAsia" w:cs="Calibri" w:hint="eastAsia"/>
          <w:sz w:val="18"/>
          <w:szCs w:val="18"/>
        </w:rPr>
        <w:t>有限公司</w:t>
      </w:r>
      <w:r w:rsidRPr="00897859">
        <w:rPr>
          <w:rFonts w:asciiTheme="minorEastAsia" w:eastAsiaTheme="minorEastAsia" w:hAnsiTheme="minorEastAsia" w:cs="Calibri"/>
          <w:sz w:val="18"/>
          <w:szCs w:val="18"/>
        </w:rPr>
        <w:t>458</w:t>
      </w:r>
      <w:r w:rsidRPr="00897859">
        <w:rPr>
          <w:rFonts w:asciiTheme="minorEastAsia" w:eastAsiaTheme="minorEastAsia" w:hAnsiTheme="minorEastAsia" w:cs="Calibri" w:hint="eastAsia"/>
          <w:sz w:val="18"/>
          <w:szCs w:val="18"/>
        </w:rPr>
        <w:t>万元。</w:t>
      </w:r>
    </w:p>
    <w:p w:rsidR="00037019" w:rsidRPr="0089785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lastRenderedPageBreak/>
        <w:t>环境自行监测方案</w:t>
      </w:r>
    </w:p>
    <w:p w:rsidR="00BE788E" w:rsidRPr="00897859" w:rsidRDefault="00BE788E">
      <w:pPr>
        <w:pStyle w:val="a3"/>
        <w:spacing w:before="0" w:beforeAutospacing="0" w:after="0" w:afterAutospacing="0"/>
        <w:divId w:val="1388839204"/>
        <w:rPr>
          <w:rFonts w:asciiTheme="minorEastAsia" w:eastAsiaTheme="minorEastAsia" w:hAnsiTheme="minorEastAsia" w:cs="Calibri"/>
          <w:sz w:val="21"/>
          <w:szCs w:val="21"/>
        </w:rPr>
      </w:pPr>
      <w:r w:rsidRPr="00897859">
        <w:rPr>
          <w:rFonts w:asciiTheme="minorEastAsia" w:eastAsiaTheme="minorEastAsia" w:hAnsiTheme="minorEastAsia" w:cs="Calibri" w:hint="eastAsia"/>
          <w:sz w:val="18"/>
          <w:szCs w:val="18"/>
        </w:rPr>
        <w:t>上述两家公司均采用先进的分析仪器，能够对排放废水的</w:t>
      </w:r>
      <w:r w:rsidRPr="00897859">
        <w:rPr>
          <w:rFonts w:asciiTheme="minorEastAsia" w:eastAsiaTheme="minorEastAsia" w:hAnsiTheme="minorEastAsia" w:cs="Calibri"/>
          <w:sz w:val="18"/>
          <w:szCs w:val="18"/>
        </w:rPr>
        <w:t>COD</w:t>
      </w:r>
      <w:r w:rsidRPr="00897859">
        <w:rPr>
          <w:rFonts w:asciiTheme="minorEastAsia" w:eastAsiaTheme="minorEastAsia" w:hAnsiTheme="minorEastAsia" w:cs="Calibri" w:hint="eastAsia"/>
          <w:sz w:val="18"/>
          <w:szCs w:val="18"/>
        </w:rPr>
        <w:t>、氨氮、</w:t>
      </w:r>
      <w:r w:rsidRPr="00897859">
        <w:rPr>
          <w:rFonts w:asciiTheme="minorEastAsia" w:eastAsiaTheme="minorEastAsia" w:hAnsiTheme="minorEastAsia" w:cs="Calibri"/>
          <w:sz w:val="18"/>
          <w:szCs w:val="18"/>
        </w:rPr>
        <w:t>PH</w:t>
      </w:r>
      <w:r w:rsidRPr="00897859">
        <w:rPr>
          <w:rFonts w:asciiTheme="minorEastAsia" w:eastAsiaTheme="minorEastAsia" w:hAnsiTheme="minorEastAsia" w:cs="Calibri" w:hint="eastAsia"/>
          <w:sz w:val="18"/>
          <w:szCs w:val="18"/>
        </w:rPr>
        <w:t>、流量、总氮等这些项目进行自动采集取样并自动检测。同时企业检测人员每天在污水排放口对排放废水的</w:t>
      </w:r>
      <w:r w:rsidRPr="00897859">
        <w:rPr>
          <w:rFonts w:asciiTheme="minorEastAsia" w:eastAsiaTheme="minorEastAsia" w:hAnsiTheme="minorEastAsia" w:cs="Calibri"/>
          <w:sz w:val="18"/>
          <w:szCs w:val="18"/>
        </w:rPr>
        <w:t>COD</w:t>
      </w:r>
      <w:r w:rsidRPr="00897859">
        <w:rPr>
          <w:rFonts w:asciiTheme="minorEastAsia" w:eastAsiaTheme="minorEastAsia" w:hAnsiTheme="minorEastAsia" w:cs="Calibri" w:hint="eastAsia"/>
          <w:sz w:val="18"/>
          <w:szCs w:val="18"/>
        </w:rPr>
        <w:t>、</w:t>
      </w:r>
      <w:r w:rsidRPr="00897859">
        <w:rPr>
          <w:rFonts w:asciiTheme="minorEastAsia" w:eastAsiaTheme="minorEastAsia" w:hAnsiTheme="minorEastAsia" w:cs="Calibri"/>
          <w:sz w:val="18"/>
          <w:szCs w:val="18"/>
        </w:rPr>
        <w:t>PH</w:t>
      </w:r>
      <w:r w:rsidRPr="00897859">
        <w:rPr>
          <w:rFonts w:asciiTheme="minorEastAsia" w:eastAsiaTheme="minorEastAsia" w:hAnsiTheme="minorEastAsia" w:cs="Calibri" w:hint="eastAsia"/>
          <w:sz w:val="18"/>
          <w:szCs w:val="18"/>
        </w:rPr>
        <w:t>值、色度、氨氮、总磷、苯胺等指标进行取样检测，</w:t>
      </w:r>
      <w:r w:rsidRPr="00897859">
        <w:rPr>
          <w:rFonts w:asciiTheme="minorEastAsia" w:eastAsiaTheme="minorEastAsia" w:hAnsiTheme="minorEastAsia" w:cs="Calibri"/>
          <w:sz w:val="18"/>
          <w:szCs w:val="18"/>
        </w:rPr>
        <w:t>BOD</w:t>
      </w:r>
      <w:r w:rsidRPr="00897859">
        <w:rPr>
          <w:rFonts w:asciiTheme="minorEastAsia" w:eastAsiaTheme="minorEastAsia" w:hAnsiTheme="minorEastAsia" w:cs="Calibri" w:hint="eastAsia"/>
          <w:sz w:val="18"/>
          <w:szCs w:val="18"/>
        </w:rPr>
        <w:t>、</w:t>
      </w:r>
      <w:r w:rsidRPr="00897859">
        <w:rPr>
          <w:rFonts w:asciiTheme="minorEastAsia" w:eastAsiaTheme="minorEastAsia" w:hAnsiTheme="minorEastAsia" w:cs="Calibri"/>
          <w:sz w:val="18"/>
          <w:szCs w:val="18"/>
        </w:rPr>
        <w:t>SS</w:t>
      </w:r>
      <w:r w:rsidRPr="00897859">
        <w:rPr>
          <w:rFonts w:asciiTheme="minorEastAsia" w:eastAsiaTheme="minorEastAsia" w:hAnsiTheme="minorEastAsia" w:cs="Calibri" w:hint="eastAsia"/>
          <w:sz w:val="18"/>
          <w:szCs w:val="18"/>
        </w:rPr>
        <w:t>、二氧化氯等指标检测人员每周进行取样检测，以确保达标排放。为了验证检测仪器的准确有效，同时公司委托有检测资质的公司每周一次抽取排放废水进行对比检测。</w:t>
      </w:r>
    </w:p>
    <w:p w:rsidR="00037019" w:rsidRDefault="00BE788E">
      <w:pPr>
        <w:spacing w:before="100" w:after="100" w:line="240" w:lineRule="exact"/>
        <w:rPr>
          <w:rFonts w:asciiTheme="minorEastAsia" w:hAnsiTheme="minorEastAsia" w:cs="宋体"/>
          <w:sz w:val="18"/>
          <w:szCs w:val="18"/>
        </w:rPr>
      </w:pPr>
      <w:r w:rsidRPr="00897859">
        <w:rPr>
          <w:rFonts w:asciiTheme="minorEastAsia" w:hAnsiTheme="minorEastAsia" w:cs="宋体"/>
          <w:sz w:val="18"/>
          <w:szCs w:val="18"/>
        </w:rPr>
        <w:t>报告期内因环境问题受到行政处罚的情况</w:t>
      </w:r>
    </w:p>
    <w:p w:rsidR="00897859" w:rsidRPr="00897859" w:rsidRDefault="00897859">
      <w:pPr>
        <w:spacing w:before="100" w:after="100" w:line="240" w:lineRule="exact"/>
        <w:rPr>
          <w:rFonts w:asciiTheme="minorEastAsia" w:hAnsiTheme="minorEastAsia" w:cs="宋体"/>
          <w:sz w:val="18"/>
          <w:szCs w:val="18"/>
        </w:rPr>
      </w:pPr>
      <w:r>
        <w:rPr>
          <w:rFonts w:asciiTheme="minorEastAsia" w:hAnsiTheme="minorEastAsia" w:cs="宋体"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其他应当公开的环境信息</w:t>
      </w:r>
    </w:p>
    <w:p w:rsidR="00BE788E" w:rsidRDefault="00BE788E">
      <w:pPr>
        <w:pStyle w:val="a3"/>
        <w:spacing w:before="0" w:beforeAutospacing="0" w:after="0" w:afterAutospacing="0"/>
        <w:divId w:val="1007755800"/>
        <w:rPr>
          <w:rFonts w:ascii="Calibri" w:hAnsi="Calibri" w:cs="Calibri"/>
          <w:sz w:val="21"/>
          <w:szCs w:val="21"/>
        </w:rPr>
      </w:pPr>
      <w:r>
        <w:rPr>
          <w:rFonts w:cs="Calibri" w:hint="eastAsia"/>
          <w:sz w:val="18"/>
          <w:szCs w:val="18"/>
        </w:rPr>
        <w:t>公司环境信息已在浙江省企业环境信息依法披露系统（</w:t>
      </w:r>
      <w:r>
        <w:rPr>
          <w:rFonts w:ascii="Calibri" w:hAnsi="Calibri" w:cs="Calibri"/>
          <w:sz w:val="18"/>
          <w:szCs w:val="18"/>
        </w:rPr>
        <w:t>http</w:t>
      </w:r>
      <w:r>
        <w:rPr>
          <w:rFonts w:cs="Calibri" w:hint="eastAsia"/>
          <w:sz w:val="18"/>
          <w:szCs w:val="18"/>
        </w:rPr>
        <w:t>：</w:t>
      </w:r>
      <w:r>
        <w:rPr>
          <w:rFonts w:ascii="Calibri" w:hAnsi="Calibri" w:cs="Calibri"/>
          <w:sz w:val="18"/>
          <w:szCs w:val="18"/>
        </w:rPr>
        <w:t>//223.4.69.45:8088/eps/</w:t>
      </w:r>
      <w:r>
        <w:rPr>
          <w:rFonts w:cs="Calibri" w:hint="eastAsia"/>
          <w:sz w:val="18"/>
          <w:szCs w:val="18"/>
        </w:rPr>
        <w:t>）进行披露。</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在报告期内为减少其碳排放所采取的措施及效果</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其他环保相关信息</w:t>
      </w:r>
    </w:p>
    <w:p w:rsidR="00BE788E" w:rsidRDefault="00BE788E" w:rsidP="00897859">
      <w:pPr>
        <w:pStyle w:val="a3"/>
        <w:spacing w:before="0" w:beforeAutospacing="0" w:after="0" w:afterAutospacing="0"/>
        <w:divId w:val="281614749"/>
        <w:rPr>
          <w:sz w:val="18"/>
          <w:szCs w:val="18"/>
        </w:rPr>
      </w:pP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公司需遵守《深圳证券交易所上市公司自律监管指引第3号——行业信息披露》中的“纺织服装相关业务”的披露要求</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上市公司发生环境事故的相关情况</w:t>
      </w:r>
    </w:p>
    <w:p w:rsidR="00BE788E" w:rsidRDefault="00BE788E" w:rsidP="00897859">
      <w:pPr>
        <w:pStyle w:val="a3"/>
        <w:spacing w:before="0" w:beforeAutospacing="0" w:after="0" w:afterAutospacing="0"/>
        <w:divId w:val="808474335"/>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62" w:name="_Toc988951"/>
      <w:r>
        <w:rPr>
          <w:rFonts w:ascii="宋体" w:eastAsia="宋体" w:hAnsi="宋体" w:cs="宋体"/>
          <w:b/>
          <w:bCs/>
          <w:sz w:val="24"/>
          <w:szCs w:val="24"/>
        </w:rPr>
        <w:t>二、社会责任情况</w:t>
      </w:r>
      <w:bookmarkEnd w:id="62"/>
    </w:p>
    <w:p w:rsidR="00BE788E" w:rsidRDefault="00BE788E" w:rsidP="00897859">
      <w:pPr>
        <w:pStyle w:val="a3"/>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“不仅要做一个能企业，更要做一个好企业”是华</w:t>
      </w:r>
      <w:proofErr w:type="gramStart"/>
      <w:r>
        <w:rPr>
          <w:rFonts w:cs="Calibri" w:hint="eastAsia"/>
          <w:sz w:val="18"/>
          <w:szCs w:val="18"/>
        </w:rPr>
        <w:t>孚一直</w:t>
      </w:r>
      <w:proofErr w:type="gramEnd"/>
      <w:r>
        <w:rPr>
          <w:rFonts w:cs="Calibri" w:hint="eastAsia"/>
          <w:sz w:val="18"/>
          <w:szCs w:val="18"/>
        </w:rPr>
        <w:t>以来始终坚持</w:t>
      </w:r>
      <w:proofErr w:type="gramStart"/>
      <w:r>
        <w:rPr>
          <w:rFonts w:cs="Calibri" w:hint="eastAsia"/>
          <w:sz w:val="18"/>
          <w:szCs w:val="18"/>
        </w:rPr>
        <w:t>践行</w:t>
      </w:r>
      <w:proofErr w:type="gramEnd"/>
      <w:r>
        <w:rPr>
          <w:rFonts w:cs="Calibri" w:hint="eastAsia"/>
          <w:sz w:val="18"/>
          <w:szCs w:val="18"/>
        </w:rPr>
        <w:t>的社会责任理念，是华</w:t>
      </w:r>
      <w:proofErr w:type="gramStart"/>
      <w:r>
        <w:rPr>
          <w:rFonts w:cs="Calibri" w:hint="eastAsia"/>
          <w:sz w:val="18"/>
          <w:szCs w:val="18"/>
        </w:rPr>
        <w:t>孚企业</w:t>
      </w:r>
      <w:proofErr w:type="gramEnd"/>
      <w:r>
        <w:rPr>
          <w:rFonts w:cs="Calibri" w:hint="eastAsia"/>
          <w:sz w:val="18"/>
          <w:szCs w:val="18"/>
        </w:rPr>
        <w:t>文化的重要组成部分，华孚秉承“贴近生命、美化生活”的使命，奉行“用爱创造每一天”的文化理念。</w:t>
      </w:r>
    </w:p>
    <w:p w:rsidR="00BE788E" w:rsidRDefault="00BE788E" w:rsidP="00897859">
      <w:pPr>
        <w:pStyle w:val="a3"/>
        <w:shd w:val="clear" w:color="auto" w:fill="FFFFFF"/>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报告期内，公司提供就业岗位14000余个，重视对弱势群体的关爱，积极安排300余名残疾员工在华孚上岗就业。公司继续完善了相关管理规定，在依法签订合同、遵守国家法律法规关于工作时间的要求、职</w:t>
      </w:r>
      <w:proofErr w:type="gramStart"/>
      <w:r>
        <w:rPr>
          <w:rFonts w:cs="Calibri" w:hint="eastAsia"/>
          <w:sz w:val="18"/>
          <w:szCs w:val="18"/>
        </w:rPr>
        <w:t>工薪酬与福利</w:t>
      </w:r>
      <w:proofErr w:type="gramEnd"/>
      <w:r>
        <w:rPr>
          <w:rFonts w:cs="Calibri" w:hint="eastAsia"/>
          <w:sz w:val="18"/>
          <w:szCs w:val="18"/>
        </w:rPr>
        <w:t>、杜绝招用童工、避免强迫或强制劳动、避免工作中的歧视、有效预防骚扰与虐待、职业健康与安全管理、女性员工的特殊劳动保护等方面得到进一步强化：采取切实措施，全面推进公司</w:t>
      </w:r>
      <w:proofErr w:type="gramStart"/>
      <w:r>
        <w:rPr>
          <w:rFonts w:cs="Calibri" w:hint="eastAsia"/>
          <w:sz w:val="18"/>
          <w:szCs w:val="18"/>
        </w:rPr>
        <w:t>关爱员工</w:t>
      </w:r>
      <w:proofErr w:type="gramEnd"/>
      <w:r>
        <w:rPr>
          <w:rFonts w:cs="Calibri" w:hint="eastAsia"/>
          <w:sz w:val="18"/>
          <w:szCs w:val="18"/>
        </w:rPr>
        <w:t>计划，从关爱广大员工身体、心理健康和个人职业生涯成长发展方面入手，特别是针对纺纱工厂女性员工多的实际情况，出台管理规定，保护女工的各项权益；公司高度重视做好少数民族员工和残疾员工的关爱工作，细化各项管理举措，让少数民族员工和残疾员工在华</w:t>
      </w:r>
      <w:proofErr w:type="gramStart"/>
      <w:r>
        <w:rPr>
          <w:rFonts w:cs="Calibri" w:hint="eastAsia"/>
          <w:sz w:val="18"/>
          <w:szCs w:val="18"/>
        </w:rPr>
        <w:t>孚</w:t>
      </w:r>
      <w:proofErr w:type="gramEnd"/>
      <w:r>
        <w:rPr>
          <w:rFonts w:cs="Calibri" w:hint="eastAsia"/>
          <w:sz w:val="18"/>
          <w:szCs w:val="18"/>
        </w:rPr>
        <w:t>得到更好的发展；公司特别关注由于疾病、灾害等原因导致家庭困难的员工，利用传统节日开展专项慰问帮扶。</w:t>
      </w:r>
    </w:p>
    <w:p w:rsidR="00BE788E" w:rsidRDefault="00BE788E" w:rsidP="00897859">
      <w:pPr>
        <w:pStyle w:val="a3"/>
        <w:shd w:val="clear" w:color="auto" w:fill="FFFFFF"/>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公司持续以IS014001环境管理体系为主线，将环保法律法规与各类国际认证进行有机整合，有效贯彻确立公司环境管理方针，明确管理职责权限，落实管理目标责任；持续加大环保投入，将环保工作贯穿于生产生活、销售经营等各个环节。近年来，华</w:t>
      </w:r>
      <w:proofErr w:type="gramStart"/>
      <w:r>
        <w:rPr>
          <w:rFonts w:cs="Calibri" w:hint="eastAsia"/>
          <w:sz w:val="18"/>
          <w:szCs w:val="18"/>
        </w:rPr>
        <w:t>孚持续</w:t>
      </w:r>
      <w:proofErr w:type="gramEnd"/>
      <w:r>
        <w:rPr>
          <w:rFonts w:cs="Calibri" w:hint="eastAsia"/>
          <w:sz w:val="18"/>
          <w:szCs w:val="18"/>
        </w:rPr>
        <w:t>通过IS014001 环境管理体系审核，通过STEP 纺织企业环保体系认证，通过 GOTS 认证和</w:t>
      </w:r>
      <w:proofErr w:type="gramStart"/>
      <w:r>
        <w:rPr>
          <w:rFonts w:cs="Calibri" w:hint="eastAsia"/>
          <w:sz w:val="18"/>
          <w:szCs w:val="18"/>
        </w:rPr>
        <w:t>碳足迹</w:t>
      </w:r>
      <w:proofErr w:type="gramEnd"/>
      <w:r>
        <w:rPr>
          <w:rFonts w:cs="Calibri" w:hint="eastAsia"/>
          <w:sz w:val="18"/>
          <w:szCs w:val="18"/>
        </w:rPr>
        <w:t>认证。</w:t>
      </w:r>
    </w:p>
    <w:p w:rsidR="00BE788E" w:rsidRDefault="00BE788E" w:rsidP="00897859">
      <w:pPr>
        <w:pStyle w:val="a3"/>
        <w:shd w:val="clear" w:color="auto" w:fill="FFFFFF"/>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公司持续推进对资源能源的重复利用，推进各类先进水处理技术的实际应用，通过中水回用等节能减排措施，中水回用率达到 50%以上，单位产品耗水达到，45㎡/</w:t>
      </w:r>
      <w:proofErr w:type="gramStart"/>
      <w:r>
        <w:rPr>
          <w:rFonts w:cs="Calibri" w:hint="eastAsia"/>
          <w:sz w:val="18"/>
          <w:szCs w:val="18"/>
        </w:rPr>
        <w:t>吨以下</w:t>
      </w:r>
      <w:proofErr w:type="gramEnd"/>
      <w:r>
        <w:rPr>
          <w:rFonts w:cs="Calibri" w:hint="eastAsia"/>
          <w:sz w:val="18"/>
          <w:szCs w:val="18"/>
        </w:rPr>
        <w:t>的先进水平。</w:t>
      </w:r>
    </w:p>
    <w:p w:rsidR="00BE788E" w:rsidRDefault="00BE788E" w:rsidP="00897859">
      <w:pPr>
        <w:pStyle w:val="a3"/>
        <w:shd w:val="clear" w:color="auto" w:fill="FFFFFF"/>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公司染色工艺持续提升，低温染色、低碱染色、无盐染色等节能环保工艺被越来越多的应用,并建立了化学品的有效管控制度和流程，旨在控制有害化学物质达到零排放，成为行业的标杆。</w:t>
      </w:r>
    </w:p>
    <w:p w:rsidR="00BE788E" w:rsidRDefault="00BE788E" w:rsidP="00897859">
      <w:pPr>
        <w:pStyle w:val="a3"/>
        <w:shd w:val="clear" w:color="auto" w:fill="FFFFFF"/>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公司重视绿色能源使用，推动工厂能源结构的多元化，以降低用能成本。在浙江上虞、安徽淮北、新疆、越南等地生产工厂实施屋顶太阳能光伏电站建设项目，同时推广热能回收、中水回用等节能技术。在浙江上虞推广使用天然气蒸汽发生器替代燃煤蒸汽锅炉，在越南采取的燃煤改造成生物质等等措施，有效地降低了碳排放。</w:t>
      </w:r>
    </w:p>
    <w:p w:rsidR="00BE788E" w:rsidRDefault="00BE788E" w:rsidP="00897859">
      <w:pPr>
        <w:pStyle w:val="a3"/>
        <w:spacing w:before="0" w:beforeAutospacing="0" w:after="0" w:afterAutospacing="0"/>
        <w:ind w:firstLineChars="200" w:firstLine="360"/>
        <w:divId w:val="1565680072"/>
        <w:rPr>
          <w:rFonts w:ascii="Calibri" w:hAnsi="Calibri" w:cs="Calibri"/>
          <w:sz w:val="21"/>
          <w:szCs w:val="21"/>
        </w:rPr>
      </w:pPr>
      <w:r>
        <w:rPr>
          <w:rFonts w:cs="Calibri" w:hint="eastAsia"/>
          <w:sz w:val="18"/>
          <w:szCs w:val="18"/>
        </w:rPr>
        <w:t>公司热心社会公益事业，报告期内，继续保持在乡村振兴、共同富裕、赈灾助困、教育资助等方面通过设立专项慈善基金的方式贡献华孚力量。</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63" w:name="_Toc988952"/>
      <w:r>
        <w:rPr>
          <w:rFonts w:ascii="宋体" w:eastAsia="宋体" w:hAnsi="宋体" w:cs="宋体"/>
          <w:b/>
          <w:bCs/>
          <w:sz w:val="32"/>
          <w:szCs w:val="32"/>
        </w:rPr>
        <w:lastRenderedPageBreak/>
        <w:t>第六节 重要事项</w:t>
      </w:r>
      <w:bookmarkEnd w:id="63"/>
    </w:p>
    <w:p w:rsidR="00037019" w:rsidRDefault="00BE788E">
      <w:pPr>
        <w:pStyle w:val="2"/>
        <w:spacing w:before="300" w:after="300" w:line="320" w:lineRule="exact"/>
        <w:rPr>
          <w:rFonts w:ascii="宋体" w:eastAsia="宋体" w:hAnsi="宋体" w:cs="宋体"/>
          <w:b/>
          <w:bCs/>
          <w:sz w:val="24"/>
          <w:szCs w:val="24"/>
        </w:rPr>
      </w:pPr>
      <w:bookmarkStart w:id="64" w:name="_Toc988953"/>
      <w:r>
        <w:rPr>
          <w:rFonts w:ascii="宋体" w:eastAsia="宋体" w:hAnsi="宋体" w:cs="宋体"/>
          <w:b/>
          <w:bCs/>
          <w:sz w:val="24"/>
          <w:szCs w:val="24"/>
        </w:rPr>
        <w:t>一、公司实际控制人、股东、关联方、收购人以及公司等承诺相关方在报告期内履行完毕及截至报告期末超期未履行完毕的承诺事项</w:t>
      </w:r>
      <w:bookmarkEnd w:id="64"/>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公司报告期不存在由公司实际控制人、股东、关联方、收购人以及公司等承诺相关方在报告期内履行完毕及截至报告期末超期未履行完毕的承诺事项。</w:t>
      </w:r>
    </w:p>
    <w:p w:rsidR="00037019" w:rsidRDefault="00BE788E">
      <w:pPr>
        <w:pStyle w:val="2"/>
        <w:spacing w:before="300" w:after="300" w:line="320" w:lineRule="exact"/>
        <w:rPr>
          <w:rFonts w:ascii="宋体" w:eastAsia="宋体" w:hAnsi="宋体" w:cs="宋体"/>
          <w:b/>
          <w:bCs/>
          <w:sz w:val="24"/>
          <w:szCs w:val="24"/>
        </w:rPr>
      </w:pPr>
      <w:bookmarkStart w:id="65" w:name="_Toc988954"/>
      <w:r>
        <w:rPr>
          <w:rFonts w:ascii="宋体" w:eastAsia="宋体" w:hAnsi="宋体" w:cs="宋体"/>
          <w:b/>
          <w:bCs/>
          <w:sz w:val="24"/>
          <w:szCs w:val="24"/>
        </w:rPr>
        <w:t>二、控股股东及其他关联方对上市公司的非经营性占用资金情况</w:t>
      </w:r>
      <w:bookmarkEnd w:id="6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公司报告期不存在控股股东及其他关联方对上市公司的非经营性占用资金。</w:t>
      </w:r>
    </w:p>
    <w:p w:rsidR="00037019" w:rsidRDefault="00BE788E">
      <w:pPr>
        <w:pStyle w:val="2"/>
        <w:spacing w:before="300" w:after="300" w:line="320" w:lineRule="exact"/>
        <w:rPr>
          <w:rFonts w:ascii="宋体" w:eastAsia="宋体" w:hAnsi="宋体" w:cs="宋体"/>
          <w:b/>
          <w:bCs/>
          <w:sz w:val="24"/>
          <w:szCs w:val="24"/>
        </w:rPr>
      </w:pPr>
      <w:bookmarkStart w:id="66" w:name="_Toc988955"/>
      <w:r>
        <w:rPr>
          <w:rFonts w:ascii="宋体" w:eastAsia="宋体" w:hAnsi="宋体" w:cs="宋体"/>
          <w:b/>
          <w:bCs/>
          <w:sz w:val="24"/>
          <w:szCs w:val="24"/>
        </w:rPr>
        <w:t>三、违规对外担保情况</w:t>
      </w:r>
      <w:bookmarkEnd w:id="6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公司报告期无违规对外担保情况。</w:t>
      </w:r>
    </w:p>
    <w:p w:rsidR="00037019" w:rsidRDefault="00BE788E">
      <w:pPr>
        <w:pStyle w:val="2"/>
        <w:spacing w:before="300" w:after="300" w:line="320" w:lineRule="exact"/>
        <w:rPr>
          <w:rFonts w:ascii="宋体" w:eastAsia="宋体" w:hAnsi="宋体" w:cs="宋体"/>
          <w:b/>
          <w:bCs/>
          <w:sz w:val="24"/>
          <w:szCs w:val="24"/>
        </w:rPr>
      </w:pPr>
      <w:bookmarkStart w:id="67" w:name="_Toc988956"/>
      <w:r>
        <w:rPr>
          <w:rFonts w:ascii="宋体" w:eastAsia="宋体" w:hAnsi="宋体" w:cs="宋体"/>
          <w:b/>
          <w:bCs/>
          <w:sz w:val="24"/>
          <w:szCs w:val="24"/>
        </w:rPr>
        <w:t>四、聘任、解聘会计师事务所情况</w:t>
      </w:r>
      <w:bookmarkEnd w:id="6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半年度财务报告是否已经审计</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公司半年度报告未经审计。</w:t>
      </w:r>
    </w:p>
    <w:p w:rsidR="00037019" w:rsidRDefault="00BE788E">
      <w:pPr>
        <w:pStyle w:val="2"/>
        <w:spacing w:before="300" w:after="300" w:line="320" w:lineRule="exact"/>
        <w:rPr>
          <w:rFonts w:ascii="宋体" w:eastAsia="宋体" w:hAnsi="宋体" w:cs="宋体"/>
          <w:b/>
          <w:bCs/>
          <w:sz w:val="24"/>
          <w:szCs w:val="24"/>
        </w:rPr>
      </w:pPr>
      <w:bookmarkStart w:id="68" w:name="_Toc988957"/>
      <w:r>
        <w:rPr>
          <w:rFonts w:ascii="宋体" w:eastAsia="宋体" w:hAnsi="宋体" w:cs="宋体"/>
          <w:b/>
          <w:bCs/>
          <w:sz w:val="24"/>
          <w:szCs w:val="24"/>
        </w:rPr>
        <w:t>五、董事会、监事会对会计师事务所本报告期“非标准审计报告”的说明</w:t>
      </w:r>
      <w:bookmarkEnd w:id="6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69" w:name="_Toc988958"/>
      <w:r>
        <w:rPr>
          <w:rFonts w:ascii="宋体" w:eastAsia="宋体" w:hAnsi="宋体" w:cs="宋体"/>
          <w:b/>
          <w:bCs/>
          <w:sz w:val="24"/>
          <w:szCs w:val="24"/>
        </w:rPr>
        <w:t>六、董事会对上年度“非标准审计报告”相关情况的说明</w:t>
      </w:r>
      <w:bookmarkEnd w:id="6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70" w:name="_Toc988959"/>
      <w:r>
        <w:rPr>
          <w:rFonts w:ascii="宋体" w:eastAsia="宋体" w:hAnsi="宋体" w:cs="宋体"/>
          <w:b/>
          <w:bCs/>
          <w:sz w:val="24"/>
          <w:szCs w:val="24"/>
        </w:rPr>
        <w:t>七、破产重整相关事项</w:t>
      </w:r>
      <w:bookmarkEnd w:id="7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公司报告期未发生破产重整相关事项。</w:t>
      </w:r>
    </w:p>
    <w:p w:rsidR="00037019" w:rsidRDefault="00BE788E">
      <w:pPr>
        <w:pStyle w:val="2"/>
        <w:spacing w:before="300" w:after="300" w:line="320" w:lineRule="exact"/>
        <w:rPr>
          <w:rFonts w:ascii="宋体" w:eastAsia="宋体" w:hAnsi="宋体" w:cs="宋体"/>
          <w:b/>
          <w:bCs/>
          <w:sz w:val="24"/>
          <w:szCs w:val="24"/>
        </w:rPr>
      </w:pPr>
      <w:bookmarkStart w:id="71" w:name="_Toc988960"/>
      <w:r>
        <w:rPr>
          <w:rFonts w:ascii="宋体" w:eastAsia="宋体" w:hAnsi="宋体" w:cs="宋体"/>
          <w:b/>
          <w:bCs/>
          <w:sz w:val="24"/>
          <w:szCs w:val="24"/>
        </w:rPr>
        <w:t>八、诉讼事项</w:t>
      </w:r>
      <w:bookmarkEnd w:id="7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重大诉讼仲裁事项</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本报告期公司无重大诉讼、仲裁事项。</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其他诉讼事项</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72" w:name="_Toc988961"/>
      <w:r>
        <w:rPr>
          <w:rFonts w:ascii="宋体" w:eastAsia="宋体" w:hAnsi="宋体" w:cs="宋体"/>
          <w:b/>
          <w:bCs/>
          <w:sz w:val="24"/>
          <w:szCs w:val="24"/>
        </w:rPr>
        <w:t>九、处罚及整改情况</w:t>
      </w:r>
      <w:bookmarkEnd w:id="7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公司报告期不存在处罚及整改情况。</w:t>
      </w:r>
    </w:p>
    <w:p w:rsidR="00037019" w:rsidRDefault="00BE788E">
      <w:pPr>
        <w:pStyle w:val="2"/>
        <w:spacing w:before="300" w:after="300" w:line="320" w:lineRule="exact"/>
        <w:rPr>
          <w:rFonts w:ascii="宋体" w:eastAsia="宋体" w:hAnsi="宋体" w:cs="宋体"/>
          <w:b/>
          <w:bCs/>
          <w:sz w:val="24"/>
          <w:szCs w:val="24"/>
        </w:rPr>
      </w:pPr>
      <w:bookmarkStart w:id="73" w:name="_Toc988962"/>
      <w:r>
        <w:rPr>
          <w:rFonts w:ascii="宋体" w:eastAsia="宋体" w:hAnsi="宋体" w:cs="宋体"/>
          <w:b/>
          <w:bCs/>
          <w:sz w:val="24"/>
          <w:szCs w:val="24"/>
        </w:rPr>
        <w:t>十、公司及其控股股东、实际控制人的诚信状况</w:t>
      </w:r>
      <w:bookmarkEnd w:id="7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74" w:name="_Toc988963"/>
      <w:r>
        <w:rPr>
          <w:rFonts w:ascii="宋体" w:eastAsia="宋体" w:hAnsi="宋体" w:cs="宋体"/>
          <w:b/>
          <w:bCs/>
          <w:sz w:val="24"/>
          <w:szCs w:val="24"/>
        </w:rPr>
        <w:t>十一、重大关联交易</w:t>
      </w:r>
      <w:bookmarkEnd w:id="74"/>
    </w:p>
    <w:p w:rsidR="00037019" w:rsidRDefault="00BE788E">
      <w:pPr>
        <w:pStyle w:val="3"/>
        <w:spacing w:line="280" w:lineRule="exact"/>
        <w:jc w:val="left"/>
        <w:rPr>
          <w:rFonts w:ascii="宋体" w:hAnsi="宋体" w:cs="宋体"/>
          <w:b/>
          <w:bCs/>
        </w:rPr>
      </w:pPr>
      <w:bookmarkStart w:id="75" w:name="_Toc988964"/>
      <w:r>
        <w:rPr>
          <w:rFonts w:ascii="宋体" w:hAnsi="宋体" w:cs="宋体"/>
          <w:b/>
          <w:bCs/>
        </w:rPr>
        <w:t>1、与日常经营相关的关联交易</w:t>
      </w:r>
      <w:bookmarkEnd w:id="7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72"/>
        <w:gridCol w:w="704"/>
        <w:gridCol w:w="688"/>
        <w:gridCol w:w="688"/>
        <w:gridCol w:w="688"/>
        <w:gridCol w:w="688"/>
        <w:gridCol w:w="688"/>
      </w:tblGrid>
      <w:tr w:rsidR="00037019" w:rsidTr="00897859">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关联关系</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关联交易类型</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关联交易定价原则</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关联交易价格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关联交易金额（万元）</w:t>
            </w:r>
          </w:p>
        </w:tc>
        <w:tc>
          <w:tcPr>
            <w:tcW w:w="6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占同类交易金额的比例</w:t>
            </w:r>
          </w:p>
        </w:tc>
        <w:tc>
          <w:tcPr>
            <w:tcW w:w="70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获批的交易额度（万元）</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是否超过获批额度</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关联交易结算方式</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可获得的同类交易市价</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披露索引</w:t>
            </w:r>
          </w:p>
        </w:tc>
      </w:tr>
      <w:tr w:rsidR="00037019" w:rsidTr="00897859">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购买或销售商品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原材料采购</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830.46</w:t>
            </w:r>
          </w:p>
        </w:tc>
        <w:tc>
          <w:tcPr>
            <w:tcW w:w="6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7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关于预计2024年度日常关联交易的公告</w:t>
            </w:r>
          </w:p>
        </w:tc>
      </w:tr>
      <w:tr w:rsidR="00037019" w:rsidTr="00897859">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仓储物流</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7,173.35</w:t>
            </w:r>
          </w:p>
        </w:tc>
        <w:tc>
          <w:tcPr>
            <w:tcW w:w="6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83.71%</w:t>
            </w:r>
          </w:p>
        </w:tc>
        <w:tc>
          <w:tcPr>
            <w:tcW w:w="7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关于预计2024年度日常关联交易的公告</w:t>
            </w:r>
          </w:p>
        </w:tc>
      </w:tr>
      <w:tr w:rsidR="00037019" w:rsidTr="00897859">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物业服务</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6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68.42%</w:t>
            </w:r>
          </w:p>
        </w:tc>
        <w:tc>
          <w:tcPr>
            <w:tcW w:w="7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关于预计2024年度日常关联交易的公告</w:t>
            </w:r>
          </w:p>
        </w:tc>
      </w:tr>
      <w:tr w:rsidR="00037019" w:rsidTr="00897859">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w:t>
            </w:r>
            <w:r>
              <w:rPr>
                <w:rFonts w:ascii="宋体" w:eastAsia="宋体" w:hAnsi="宋体" w:cs="宋体"/>
                <w:sz w:val="18"/>
                <w:szCs w:val="18"/>
              </w:rPr>
              <w:lastRenderedPageBreak/>
              <w:t>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向关联人销售商品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销售产品</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123.47</w:t>
            </w:r>
          </w:p>
        </w:tc>
        <w:tc>
          <w:tcPr>
            <w:tcW w:w="6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7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w:t>
            </w:r>
            <w:r>
              <w:rPr>
                <w:rFonts w:ascii="宋体" w:eastAsia="宋体" w:hAnsi="宋体" w:cs="宋体"/>
                <w:sz w:val="18"/>
                <w:szCs w:val="18"/>
              </w:rPr>
              <w:lastRenderedPageBreak/>
              <w:t>汇票</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 -</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关于预计2024年度</w:t>
            </w:r>
            <w:r>
              <w:rPr>
                <w:rFonts w:ascii="宋体" w:eastAsia="宋体" w:hAnsi="宋体" w:cs="宋体"/>
                <w:sz w:val="18"/>
                <w:szCs w:val="18"/>
              </w:rPr>
              <w:lastRenderedPageBreak/>
              <w:t>日常关联交易的公告</w:t>
            </w:r>
          </w:p>
        </w:tc>
      </w:tr>
      <w:tr w:rsidR="00037019" w:rsidTr="00897859">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购买或销售商品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销售产品</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0.02</w:t>
            </w:r>
          </w:p>
        </w:tc>
        <w:tc>
          <w:tcPr>
            <w:tcW w:w="6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70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68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关于预计2024年度日常关联交易的公告</w:t>
            </w:r>
          </w:p>
        </w:tc>
      </w:tr>
      <w:tr w:rsidR="00037019" w:rsidTr="00897859">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8,327.3</w:t>
            </w:r>
          </w:p>
        </w:tc>
        <w:tc>
          <w:tcPr>
            <w:tcW w:w="6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0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60,200</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37019" w:rsidTr="00897859">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大额销货退回的详细情况</w:t>
            </w:r>
          </w:p>
        </w:tc>
        <w:tc>
          <w:tcPr>
            <w:tcW w:w="4144" w:type="dxa"/>
            <w:gridSpan w:val="6"/>
            <w:tcBorders>
              <w:top w:val="single" w:sz="2" w:space="0" w:color="auto"/>
              <w:left w:val="single" w:sz="2" w:space="0" w:color="auto"/>
              <w:bottom w:val="single" w:sz="2" w:space="0" w:color="auto"/>
              <w:right w:val="single" w:sz="2" w:space="0" w:color="auto"/>
            </w:tcBorders>
            <w:vAlign w:val="center"/>
          </w:tcPr>
          <w:p w:rsidR="00037019" w:rsidRDefault="00897859">
            <w:pPr>
              <w:spacing w:line="240" w:lineRule="exact"/>
              <w:rPr>
                <w:rFonts w:ascii="宋体" w:eastAsia="宋体" w:hAnsi="宋体" w:cs="宋体"/>
                <w:sz w:val="18"/>
                <w:szCs w:val="18"/>
              </w:rPr>
            </w:pPr>
            <w:r>
              <w:rPr>
                <w:rFonts w:ascii="宋体" w:eastAsia="宋体" w:hAnsi="宋体" w:cs="宋体"/>
                <w:sz w:val="18"/>
                <w:szCs w:val="18"/>
              </w:rPr>
              <w:t>无</w:t>
            </w:r>
          </w:p>
        </w:tc>
      </w:tr>
      <w:tr w:rsidR="00037019" w:rsidTr="00897859">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按类别对本期将发生的日常关联交易进行总金额预计的，在报告期内的实际履行情况（如有）</w:t>
            </w:r>
          </w:p>
        </w:tc>
        <w:tc>
          <w:tcPr>
            <w:tcW w:w="4144" w:type="dxa"/>
            <w:gridSpan w:val="6"/>
            <w:tcBorders>
              <w:top w:val="single" w:sz="2" w:space="0" w:color="auto"/>
              <w:left w:val="single" w:sz="2" w:space="0" w:color="auto"/>
              <w:bottom w:val="single" w:sz="2" w:space="0" w:color="auto"/>
              <w:right w:val="single" w:sz="2" w:space="0" w:color="auto"/>
            </w:tcBorders>
            <w:vAlign w:val="center"/>
          </w:tcPr>
          <w:p w:rsidR="00037019" w:rsidRDefault="00897859">
            <w:pPr>
              <w:spacing w:line="240" w:lineRule="exact"/>
              <w:rPr>
                <w:rFonts w:ascii="宋体" w:eastAsia="宋体" w:hAnsi="宋体" w:cs="宋体"/>
                <w:sz w:val="18"/>
                <w:szCs w:val="18"/>
              </w:rPr>
            </w:pPr>
            <w:r>
              <w:rPr>
                <w:rFonts w:ascii="宋体" w:eastAsia="宋体" w:hAnsi="宋体" w:cs="宋体"/>
                <w:sz w:val="18"/>
                <w:szCs w:val="18"/>
              </w:rPr>
              <w:t>无</w:t>
            </w:r>
          </w:p>
        </w:tc>
      </w:tr>
      <w:tr w:rsidR="00037019" w:rsidTr="00897859">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交易价格与市场参考价格差异较大的原因（如适用）</w:t>
            </w:r>
          </w:p>
        </w:tc>
        <w:tc>
          <w:tcPr>
            <w:tcW w:w="4144" w:type="dxa"/>
            <w:gridSpan w:val="6"/>
            <w:tcBorders>
              <w:top w:val="single" w:sz="2" w:space="0" w:color="auto"/>
              <w:left w:val="single" w:sz="2" w:space="0" w:color="auto"/>
              <w:bottom w:val="single" w:sz="2" w:space="0" w:color="auto"/>
              <w:right w:val="single" w:sz="2" w:space="0" w:color="auto"/>
            </w:tcBorders>
            <w:vAlign w:val="center"/>
          </w:tcPr>
          <w:p w:rsidR="00037019" w:rsidRDefault="00897859">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37019" w:rsidRDefault="00BE788E">
      <w:pPr>
        <w:pStyle w:val="3"/>
        <w:spacing w:line="280" w:lineRule="exact"/>
        <w:jc w:val="left"/>
        <w:rPr>
          <w:rFonts w:ascii="宋体" w:hAnsi="宋体" w:cs="宋体"/>
          <w:b/>
          <w:bCs/>
        </w:rPr>
      </w:pPr>
      <w:bookmarkStart w:id="76" w:name="_Toc988965"/>
      <w:r>
        <w:rPr>
          <w:rFonts w:ascii="宋体" w:hAnsi="宋体" w:cs="宋体"/>
          <w:b/>
          <w:bCs/>
        </w:rPr>
        <w:t>2、资产或股权收购、出售发生的关联交易</w:t>
      </w:r>
      <w:bookmarkEnd w:id="7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3"/>
        <w:gridCol w:w="803"/>
        <w:gridCol w:w="803"/>
        <w:gridCol w:w="804"/>
        <w:gridCol w:w="803"/>
        <w:gridCol w:w="803"/>
        <w:gridCol w:w="803"/>
        <w:gridCol w:w="803"/>
        <w:gridCol w:w="803"/>
        <w:gridCol w:w="803"/>
        <w:gridCol w:w="803"/>
        <w:gridCol w:w="805"/>
      </w:tblGrid>
      <w:tr w:rsidR="00037019">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关联关系</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关联交易类型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关联交易定价原则</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转让资产的账面价值（万元）</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转让资产的评估价值（万元）（如有）</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转让价格（万元）</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关联交易结算方式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交易损益（万元）</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披露索引</w:t>
            </w:r>
          </w:p>
        </w:tc>
      </w:tr>
      <w:tr w:rsidR="00037019">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公司实际控制人孙伟挺在该公司担任董事</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购买资产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购买土地使用权及房屋建筑物</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评估价格</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30,209.06</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30,200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2024年06月29日</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关于上虞时尚总部物业实施交付暨关联交易进展的公告</w:t>
            </w:r>
          </w:p>
        </w:tc>
      </w:tr>
      <w:tr w:rsidR="00037019">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绍兴市上虞区华孚房地产开发有限公司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出售资产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销售房产</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市场价</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321.68</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782.84</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461.16</w:t>
            </w: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trPr>
          <w:trHeight w:val="240"/>
        </w:trPr>
        <w:tc>
          <w:tcPr>
            <w:tcW w:w="321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转让价格与账面价值或评估价值差异较大的原因（如有）</w:t>
            </w:r>
          </w:p>
        </w:tc>
        <w:tc>
          <w:tcPr>
            <w:tcW w:w="642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建设时间早，资产增值。</w:t>
            </w:r>
          </w:p>
        </w:tc>
      </w:tr>
      <w:tr w:rsidR="00037019">
        <w:trPr>
          <w:trHeight w:val="240"/>
        </w:trPr>
        <w:tc>
          <w:tcPr>
            <w:tcW w:w="321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对公司经营成果与财务状况的影响情况</w:t>
            </w:r>
          </w:p>
        </w:tc>
        <w:tc>
          <w:tcPr>
            <w:tcW w:w="642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为顺应政府转型升级、提升集群制造产业</w:t>
            </w:r>
            <w:proofErr w:type="gramStart"/>
            <w:r>
              <w:rPr>
                <w:rFonts w:ascii="宋体" w:eastAsia="宋体" w:hAnsi="宋体" w:cs="宋体"/>
                <w:sz w:val="18"/>
                <w:szCs w:val="18"/>
              </w:rPr>
              <w:t>链发展</w:t>
            </w:r>
            <w:proofErr w:type="gramEnd"/>
            <w:r>
              <w:rPr>
                <w:rFonts w:ascii="宋体" w:eastAsia="宋体" w:hAnsi="宋体" w:cs="宋体"/>
                <w:sz w:val="18"/>
                <w:szCs w:val="18"/>
              </w:rPr>
              <w:t>需要，</w:t>
            </w:r>
            <w:proofErr w:type="gramStart"/>
            <w:r>
              <w:rPr>
                <w:rFonts w:ascii="宋体" w:eastAsia="宋体" w:hAnsi="宋体" w:cs="宋体"/>
                <w:sz w:val="18"/>
                <w:szCs w:val="18"/>
              </w:rPr>
              <w:t>发挥长</w:t>
            </w:r>
            <w:proofErr w:type="gramEnd"/>
            <w:r>
              <w:rPr>
                <w:rFonts w:ascii="宋体" w:eastAsia="宋体" w:hAnsi="宋体" w:cs="宋体"/>
                <w:sz w:val="18"/>
                <w:szCs w:val="18"/>
              </w:rPr>
              <w:t>三角纺织产业集群优势，公司购置房产，目的在于建设上虞时尚总部，主要聚焦在纱线变面料，面料</w:t>
            </w:r>
            <w:proofErr w:type="gramStart"/>
            <w:r>
              <w:rPr>
                <w:rFonts w:ascii="宋体" w:eastAsia="宋体" w:hAnsi="宋体" w:cs="宋体"/>
                <w:sz w:val="18"/>
                <w:szCs w:val="18"/>
              </w:rPr>
              <w:t>变服装</w:t>
            </w:r>
            <w:proofErr w:type="gramEnd"/>
            <w:r>
              <w:rPr>
                <w:rFonts w:ascii="宋体" w:eastAsia="宋体" w:hAnsi="宋体" w:cs="宋体"/>
                <w:sz w:val="18"/>
                <w:szCs w:val="18"/>
              </w:rPr>
              <w:t>的增值链。融合样品设计中心、产品供应中心、</w:t>
            </w:r>
            <w:proofErr w:type="gramStart"/>
            <w:r>
              <w:rPr>
                <w:rFonts w:ascii="宋体" w:eastAsia="宋体" w:hAnsi="宋体" w:cs="宋体"/>
                <w:sz w:val="18"/>
                <w:szCs w:val="18"/>
              </w:rPr>
              <w:t>算力中心</w:t>
            </w:r>
            <w:proofErr w:type="gramEnd"/>
            <w:r>
              <w:rPr>
                <w:rFonts w:ascii="宋体" w:eastAsia="宋体" w:hAnsi="宋体" w:cs="宋体"/>
                <w:sz w:val="18"/>
                <w:szCs w:val="18"/>
              </w:rPr>
              <w:t>、电商交易中心、品牌展示中心和时尚休闲中心于一体，有助于吸引纱、布、</w:t>
            </w:r>
            <w:proofErr w:type="gramStart"/>
            <w:r>
              <w:rPr>
                <w:rFonts w:ascii="宋体" w:eastAsia="宋体" w:hAnsi="宋体" w:cs="宋体"/>
                <w:sz w:val="18"/>
                <w:szCs w:val="18"/>
              </w:rPr>
              <w:t>衣供应链企业</w:t>
            </w:r>
            <w:proofErr w:type="gramEnd"/>
            <w:r>
              <w:rPr>
                <w:rFonts w:ascii="宋体" w:eastAsia="宋体" w:hAnsi="宋体" w:cs="宋体"/>
                <w:sz w:val="18"/>
                <w:szCs w:val="18"/>
              </w:rPr>
              <w:t>和专业人才，打造</w:t>
            </w:r>
            <w:proofErr w:type="gramStart"/>
            <w:r>
              <w:rPr>
                <w:rFonts w:ascii="宋体" w:eastAsia="宋体" w:hAnsi="宋体" w:cs="宋体"/>
                <w:sz w:val="18"/>
                <w:szCs w:val="18"/>
              </w:rPr>
              <w:t>数智化纺服</w:t>
            </w:r>
            <w:proofErr w:type="gramEnd"/>
            <w:r>
              <w:rPr>
                <w:rFonts w:ascii="宋体" w:eastAsia="宋体" w:hAnsi="宋体" w:cs="宋体"/>
                <w:sz w:val="18"/>
                <w:szCs w:val="18"/>
              </w:rPr>
              <w:t>垂直一体化供应链平台。</w:t>
            </w:r>
          </w:p>
        </w:tc>
      </w:tr>
      <w:tr w:rsidR="00037019">
        <w:trPr>
          <w:trHeight w:val="240"/>
        </w:trPr>
        <w:tc>
          <w:tcPr>
            <w:tcW w:w="321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如相关交易涉及业绩约定的，报告期内的业绩实现情况</w:t>
            </w:r>
          </w:p>
        </w:tc>
        <w:tc>
          <w:tcPr>
            <w:tcW w:w="642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37019" w:rsidRDefault="00BE788E">
      <w:pPr>
        <w:pStyle w:val="3"/>
        <w:spacing w:line="280" w:lineRule="exact"/>
        <w:jc w:val="left"/>
        <w:rPr>
          <w:rFonts w:ascii="宋体" w:hAnsi="宋体" w:cs="宋体"/>
          <w:b/>
          <w:bCs/>
        </w:rPr>
      </w:pPr>
      <w:bookmarkStart w:id="77" w:name="_Toc988966"/>
      <w:r>
        <w:rPr>
          <w:rFonts w:ascii="宋体" w:hAnsi="宋体" w:cs="宋体"/>
          <w:b/>
          <w:bCs/>
        </w:rPr>
        <w:lastRenderedPageBreak/>
        <w:t>3、共同对外投资的关联交易</w:t>
      </w:r>
      <w:bookmarkEnd w:id="7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公司报告期未发生共同对外投资的关联交易。</w:t>
      </w:r>
    </w:p>
    <w:p w:rsidR="00037019" w:rsidRDefault="00BE788E">
      <w:pPr>
        <w:pStyle w:val="3"/>
        <w:spacing w:line="280" w:lineRule="exact"/>
        <w:jc w:val="left"/>
        <w:rPr>
          <w:rFonts w:ascii="宋体" w:hAnsi="宋体" w:cs="宋体"/>
          <w:b/>
          <w:bCs/>
        </w:rPr>
      </w:pPr>
      <w:bookmarkStart w:id="78" w:name="_Toc988967"/>
      <w:r>
        <w:rPr>
          <w:rFonts w:ascii="宋体" w:hAnsi="宋体" w:cs="宋体"/>
          <w:b/>
          <w:bCs/>
        </w:rPr>
        <w:t>4、关联债权债务往来</w:t>
      </w:r>
      <w:bookmarkEnd w:id="7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公司报告期不存在关联债权债务往来。</w:t>
      </w:r>
    </w:p>
    <w:p w:rsidR="00037019" w:rsidRDefault="00BE788E">
      <w:pPr>
        <w:pStyle w:val="3"/>
        <w:spacing w:line="280" w:lineRule="exact"/>
        <w:jc w:val="left"/>
        <w:rPr>
          <w:rFonts w:ascii="宋体" w:hAnsi="宋体" w:cs="宋体"/>
          <w:b/>
          <w:bCs/>
        </w:rPr>
      </w:pPr>
      <w:bookmarkStart w:id="79" w:name="_Toc988968"/>
      <w:r>
        <w:rPr>
          <w:rFonts w:ascii="宋体" w:hAnsi="宋体" w:cs="宋体"/>
          <w:b/>
          <w:bCs/>
        </w:rPr>
        <w:t>5、与存在关联关系的财务公司的往来情况</w:t>
      </w:r>
      <w:bookmarkEnd w:id="7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公司与存在关联关系的财务公司与关联方之间不存在存款、贷款、授信或其他金融业务。</w:t>
      </w:r>
    </w:p>
    <w:p w:rsidR="00037019" w:rsidRDefault="00BE788E">
      <w:pPr>
        <w:pStyle w:val="3"/>
        <w:spacing w:line="280" w:lineRule="exact"/>
        <w:jc w:val="left"/>
        <w:rPr>
          <w:rFonts w:ascii="宋体" w:hAnsi="宋体" w:cs="宋体"/>
          <w:b/>
          <w:bCs/>
        </w:rPr>
      </w:pPr>
      <w:bookmarkStart w:id="80" w:name="_Toc988969"/>
      <w:r>
        <w:rPr>
          <w:rFonts w:ascii="宋体" w:hAnsi="宋体" w:cs="宋体"/>
          <w:b/>
          <w:bCs/>
        </w:rPr>
        <w:t>6、公司控股的财务公司与关联方的往来情况</w:t>
      </w:r>
      <w:bookmarkEnd w:id="8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公司控股的财务公司与关联方之间不存在存款、贷款、授信或其他金融业务。</w:t>
      </w:r>
    </w:p>
    <w:p w:rsidR="00037019" w:rsidRDefault="00BE788E">
      <w:pPr>
        <w:pStyle w:val="3"/>
        <w:spacing w:line="280" w:lineRule="exact"/>
        <w:jc w:val="left"/>
        <w:rPr>
          <w:rFonts w:ascii="宋体" w:hAnsi="宋体" w:cs="宋体"/>
          <w:b/>
          <w:bCs/>
        </w:rPr>
      </w:pPr>
      <w:bookmarkStart w:id="81" w:name="_Toc988970"/>
      <w:r>
        <w:rPr>
          <w:rFonts w:ascii="宋体" w:hAnsi="宋体" w:cs="宋体"/>
          <w:b/>
          <w:bCs/>
        </w:rPr>
        <w:t>7、其他重大关联交易</w:t>
      </w:r>
      <w:bookmarkEnd w:id="8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公司报告期无其他重大关联交易。</w:t>
      </w:r>
    </w:p>
    <w:p w:rsidR="00037019" w:rsidRDefault="00BE788E">
      <w:pPr>
        <w:pStyle w:val="2"/>
        <w:spacing w:before="300" w:after="300" w:line="320" w:lineRule="exact"/>
        <w:rPr>
          <w:rFonts w:ascii="宋体" w:eastAsia="宋体" w:hAnsi="宋体" w:cs="宋体"/>
          <w:b/>
          <w:bCs/>
          <w:sz w:val="24"/>
          <w:szCs w:val="24"/>
        </w:rPr>
      </w:pPr>
      <w:bookmarkStart w:id="82" w:name="_Toc988971"/>
      <w:r>
        <w:rPr>
          <w:rFonts w:ascii="宋体" w:eastAsia="宋体" w:hAnsi="宋体" w:cs="宋体"/>
          <w:b/>
          <w:bCs/>
          <w:sz w:val="24"/>
          <w:szCs w:val="24"/>
        </w:rPr>
        <w:t>十二、重大合同及其履行情况</w:t>
      </w:r>
      <w:bookmarkEnd w:id="82"/>
    </w:p>
    <w:p w:rsidR="00037019" w:rsidRDefault="00BE788E">
      <w:pPr>
        <w:pStyle w:val="3"/>
        <w:spacing w:line="280" w:lineRule="exact"/>
        <w:jc w:val="left"/>
        <w:rPr>
          <w:rFonts w:ascii="宋体" w:hAnsi="宋体" w:cs="宋体"/>
          <w:b/>
          <w:bCs/>
        </w:rPr>
      </w:pPr>
      <w:bookmarkStart w:id="83" w:name="_Toc988972"/>
      <w:r>
        <w:rPr>
          <w:rFonts w:ascii="宋体" w:hAnsi="宋体" w:cs="宋体"/>
          <w:b/>
          <w:bCs/>
        </w:rPr>
        <w:t>1、托管、承包、租赁事项情况</w:t>
      </w:r>
      <w:bookmarkEnd w:id="83"/>
    </w:p>
    <w:p w:rsidR="00037019" w:rsidRDefault="00BE788E">
      <w:pPr>
        <w:keepNext/>
        <w:keepLines/>
        <w:spacing w:before="300" w:after="300" w:line="280" w:lineRule="exact"/>
        <w:outlineLvl w:val="3"/>
        <w:rPr>
          <w:rFonts w:ascii="宋体" w:eastAsia="宋体" w:hAnsi="宋体" w:cs="宋体"/>
          <w:b/>
          <w:bCs/>
          <w:sz w:val="18"/>
          <w:szCs w:val="18"/>
        </w:rPr>
      </w:pPr>
      <w:bookmarkStart w:id="84" w:name="_Toc988973"/>
      <w:r>
        <w:rPr>
          <w:rFonts w:ascii="宋体" w:eastAsia="宋体" w:hAnsi="宋体" w:cs="宋体"/>
          <w:b/>
          <w:bCs/>
          <w:sz w:val="18"/>
          <w:szCs w:val="18"/>
        </w:rPr>
        <w:t>（1） 托管情况</w:t>
      </w:r>
      <w:bookmarkEnd w:id="84"/>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公司报告期不存在托管情况。</w:t>
      </w:r>
    </w:p>
    <w:p w:rsidR="00037019" w:rsidRDefault="00BE788E">
      <w:pPr>
        <w:keepNext/>
        <w:keepLines/>
        <w:spacing w:before="300" w:after="300" w:line="280" w:lineRule="exact"/>
        <w:outlineLvl w:val="3"/>
        <w:rPr>
          <w:rFonts w:ascii="宋体" w:eastAsia="宋体" w:hAnsi="宋体" w:cs="宋体"/>
          <w:b/>
          <w:bCs/>
          <w:sz w:val="18"/>
          <w:szCs w:val="18"/>
        </w:rPr>
      </w:pPr>
      <w:bookmarkStart w:id="85" w:name="_Toc988974"/>
      <w:r>
        <w:rPr>
          <w:rFonts w:ascii="宋体" w:eastAsia="宋体" w:hAnsi="宋体" w:cs="宋体"/>
          <w:b/>
          <w:bCs/>
          <w:sz w:val="18"/>
          <w:szCs w:val="18"/>
        </w:rPr>
        <w:t>（2） 承包情况</w:t>
      </w:r>
      <w:bookmarkEnd w:id="8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公司报告期不存在承包情况。</w:t>
      </w:r>
    </w:p>
    <w:p w:rsidR="00037019" w:rsidRDefault="00BE788E">
      <w:pPr>
        <w:keepNext/>
        <w:keepLines/>
        <w:spacing w:before="300" w:after="300" w:line="280" w:lineRule="exact"/>
        <w:outlineLvl w:val="3"/>
        <w:rPr>
          <w:rFonts w:ascii="宋体" w:eastAsia="宋体" w:hAnsi="宋体" w:cs="宋体"/>
          <w:b/>
          <w:bCs/>
          <w:sz w:val="18"/>
          <w:szCs w:val="18"/>
        </w:rPr>
      </w:pPr>
      <w:bookmarkStart w:id="86" w:name="_Toc988975"/>
      <w:r>
        <w:rPr>
          <w:rFonts w:ascii="宋体" w:eastAsia="宋体" w:hAnsi="宋体" w:cs="宋体"/>
          <w:b/>
          <w:bCs/>
          <w:sz w:val="18"/>
          <w:szCs w:val="18"/>
        </w:rPr>
        <w:t>（3） 租赁情况</w:t>
      </w:r>
      <w:bookmarkEnd w:id="8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租赁情况说明</w:t>
      </w:r>
    </w:p>
    <w:p w:rsidR="00BE788E" w:rsidRDefault="00BE788E">
      <w:pPr>
        <w:pStyle w:val="a3"/>
        <w:divId w:val="1267274533"/>
        <w:rPr>
          <w:sz w:val="18"/>
          <w:szCs w:val="18"/>
        </w:rPr>
      </w:pPr>
      <w:r>
        <w:rPr>
          <w:rFonts w:hint="eastAsia"/>
          <w:sz w:val="18"/>
          <w:szCs w:val="18"/>
        </w:rPr>
        <w:t>详见附注第十节七</w:t>
      </w:r>
      <w:proofErr w:type="gramStart"/>
      <w:r>
        <w:rPr>
          <w:rFonts w:hint="eastAsia"/>
          <w:sz w:val="18"/>
          <w:szCs w:val="18"/>
        </w:rPr>
        <w:t>82</w:t>
      </w:r>
      <w:proofErr w:type="gramEnd"/>
      <w:r>
        <w:rPr>
          <w:rFonts w:hint="eastAsia"/>
          <w:sz w:val="18"/>
          <w:szCs w:val="18"/>
        </w:rPr>
        <w:t>、租赁</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为公司带来的损益达到公司报告期利润总额10%以上的项目</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公司报告期不存在为公司带来的损益达到公司报告期利润总额10%以上的租赁项目。</w:t>
      </w:r>
    </w:p>
    <w:p w:rsidR="00037019" w:rsidRDefault="00BE788E">
      <w:pPr>
        <w:pStyle w:val="3"/>
        <w:spacing w:line="280" w:lineRule="exact"/>
        <w:jc w:val="left"/>
        <w:rPr>
          <w:rFonts w:ascii="宋体" w:hAnsi="宋体" w:cs="宋体"/>
          <w:b/>
          <w:bCs/>
        </w:rPr>
      </w:pPr>
      <w:bookmarkStart w:id="87" w:name="_Toc988976"/>
      <w:r>
        <w:rPr>
          <w:rFonts w:ascii="宋体" w:hAnsi="宋体" w:cs="宋体"/>
          <w:b/>
          <w:bCs/>
        </w:rPr>
        <w:t>2、重大担保</w:t>
      </w:r>
      <w:bookmarkEnd w:id="8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69"/>
        <w:gridCol w:w="871"/>
        <w:gridCol w:w="870"/>
        <w:gridCol w:w="876"/>
        <w:gridCol w:w="12"/>
        <w:gridCol w:w="858"/>
        <w:gridCol w:w="877"/>
        <w:gridCol w:w="110"/>
        <w:gridCol w:w="781"/>
        <w:gridCol w:w="876"/>
        <w:gridCol w:w="876"/>
        <w:gridCol w:w="24"/>
        <w:gridCol w:w="852"/>
        <w:gridCol w:w="887"/>
      </w:tblGrid>
      <w:tr w:rsidR="00037019">
        <w:trPr>
          <w:trHeight w:val="240"/>
        </w:trPr>
        <w:tc>
          <w:tcPr>
            <w:tcW w:w="9639" w:type="dxa"/>
            <w:gridSpan w:val="1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公司及其子公司对外担保情况（不包括对子公司的担保）</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89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8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37019">
        <w:trPr>
          <w:trHeight w:val="240"/>
        </w:trPr>
        <w:tc>
          <w:tcPr>
            <w:tcW w:w="9639" w:type="dxa"/>
            <w:gridSpan w:val="1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公司对子公司的担保情况</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98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78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8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2023年08月28日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148,624</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2022年10月28日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24,500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2024年01月15日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2024年05月20日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44,630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2023年12月21日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29,600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2024年05月16日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4,300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2024年02月07日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26,980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2023年09月22日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146,673</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阿克苏华孚色纺有限</w:t>
            </w:r>
            <w:r>
              <w:rPr>
                <w:rFonts w:ascii="宋体" w:eastAsia="宋体" w:hAnsi="宋体" w:cs="宋体"/>
                <w:sz w:val="18"/>
                <w:szCs w:val="18"/>
              </w:rPr>
              <w:lastRenderedPageBreak/>
              <w:t>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2019年04月25日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2019年07月30日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24,981</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阿克苏华孚色纺有限公司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2021年04月28日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2021年08月31日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20,900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2024年04月27日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2024年05月24日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20,749</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8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8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2024年01月04日</w:t>
            </w:r>
          </w:p>
        </w:tc>
        <w:tc>
          <w:tcPr>
            <w:tcW w:w="87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42,000</w:t>
            </w:r>
          </w:p>
        </w:tc>
        <w:tc>
          <w:tcPr>
            <w:tcW w:w="98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连带责任担保</w:t>
            </w:r>
          </w:p>
        </w:tc>
        <w:tc>
          <w:tcPr>
            <w:tcW w:w="78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88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897859">
        <w:trPr>
          <w:trHeight w:val="240"/>
        </w:trPr>
        <w:tc>
          <w:tcPr>
            <w:tcW w:w="349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报告期内审批对子公司担保额度合计（B1）</w:t>
            </w:r>
          </w:p>
        </w:tc>
        <w:tc>
          <w:tcPr>
            <w:tcW w:w="1858" w:type="dxa"/>
            <w:gridSpan w:val="4"/>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1,090,000</w:t>
            </w:r>
          </w:p>
        </w:tc>
        <w:tc>
          <w:tcPr>
            <w:tcW w:w="25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报告期内对子公司担保实际发生额合计（B2）</w:t>
            </w:r>
          </w:p>
        </w:tc>
        <w:tc>
          <w:tcPr>
            <w:tcW w:w="1739"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158,658.86</w:t>
            </w:r>
          </w:p>
        </w:tc>
      </w:tr>
      <w:tr w:rsidR="00037019" w:rsidTr="00897859">
        <w:trPr>
          <w:trHeight w:val="240"/>
        </w:trPr>
        <w:tc>
          <w:tcPr>
            <w:tcW w:w="3490"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审批的对子公司担保额度合计（B3）</w:t>
            </w:r>
          </w:p>
        </w:tc>
        <w:tc>
          <w:tcPr>
            <w:tcW w:w="1858" w:type="dxa"/>
            <w:gridSpan w:val="4"/>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1,090,000</w:t>
            </w:r>
          </w:p>
        </w:tc>
        <w:tc>
          <w:tcPr>
            <w:tcW w:w="25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期末对</w:t>
            </w:r>
            <w:proofErr w:type="gramEnd"/>
            <w:r>
              <w:rPr>
                <w:rFonts w:ascii="宋体" w:eastAsia="宋体" w:hAnsi="宋体" w:cs="宋体"/>
                <w:sz w:val="18"/>
                <w:szCs w:val="18"/>
              </w:rPr>
              <w:t>子公司实际担保余额合计（B4）</w:t>
            </w:r>
          </w:p>
        </w:tc>
        <w:tc>
          <w:tcPr>
            <w:tcW w:w="1739"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553,936.46</w:t>
            </w:r>
          </w:p>
        </w:tc>
      </w:tr>
      <w:tr w:rsidR="00037019">
        <w:trPr>
          <w:trHeight w:val="240"/>
        </w:trPr>
        <w:tc>
          <w:tcPr>
            <w:tcW w:w="9639" w:type="dxa"/>
            <w:gridSpan w:val="1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子公司对子公司的担保情况</w:t>
            </w:r>
          </w:p>
        </w:tc>
      </w:tr>
      <w:tr w:rsidR="00037019" w:rsidTr="00897859">
        <w:trPr>
          <w:trHeight w:val="240"/>
        </w:trPr>
        <w:tc>
          <w:tcPr>
            <w:tcW w:w="87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98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78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8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37019">
        <w:trPr>
          <w:trHeight w:val="240"/>
        </w:trPr>
        <w:tc>
          <w:tcPr>
            <w:tcW w:w="9639" w:type="dxa"/>
            <w:gridSpan w:val="1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公司担保总额（即前三大项的合计）</w:t>
            </w:r>
          </w:p>
        </w:tc>
      </w:tr>
      <w:tr w:rsidR="00037019" w:rsidTr="00897859">
        <w:trPr>
          <w:trHeight w:val="240"/>
        </w:trPr>
        <w:tc>
          <w:tcPr>
            <w:tcW w:w="350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报告期内审批担保额度合计（A1+B1+C1）</w:t>
            </w:r>
          </w:p>
        </w:tc>
        <w:tc>
          <w:tcPr>
            <w:tcW w:w="1846"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1,090,000</w:t>
            </w:r>
          </w:p>
        </w:tc>
        <w:tc>
          <w:tcPr>
            <w:tcW w:w="25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报告期内担保实际发生额合计（A2+B2+C2）</w:t>
            </w:r>
          </w:p>
        </w:tc>
        <w:tc>
          <w:tcPr>
            <w:tcW w:w="1739"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158,658.86</w:t>
            </w:r>
          </w:p>
        </w:tc>
      </w:tr>
      <w:tr w:rsidR="00037019" w:rsidTr="00897859">
        <w:trPr>
          <w:trHeight w:val="240"/>
        </w:trPr>
        <w:tc>
          <w:tcPr>
            <w:tcW w:w="3502"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审批的担保额度合计（A3+B3+C3）</w:t>
            </w:r>
          </w:p>
        </w:tc>
        <w:tc>
          <w:tcPr>
            <w:tcW w:w="1846"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1,090,000</w:t>
            </w:r>
          </w:p>
        </w:tc>
        <w:tc>
          <w:tcPr>
            <w:tcW w:w="255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报告期末实际担保余额合计（A4+B4+C4）</w:t>
            </w:r>
          </w:p>
        </w:tc>
        <w:tc>
          <w:tcPr>
            <w:tcW w:w="1739"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553,936.46</w:t>
            </w:r>
          </w:p>
        </w:tc>
      </w:tr>
      <w:tr w:rsidR="00037019" w:rsidTr="00897859">
        <w:trPr>
          <w:trHeight w:val="240"/>
        </w:trPr>
        <w:tc>
          <w:tcPr>
            <w:tcW w:w="5348"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实际担保总额（即A4+B4+C4）占公司净资产的比例</w:t>
            </w:r>
          </w:p>
        </w:tc>
        <w:tc>
          <w:tcPr>
            <w:tcW w:w="4291" w:type="dxa"/>
            <w:gridSpan w:val="6"/>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91.80%</w:t>
            </w:r>
          </w:p>
        </w:tc>
      </w:tr>
      <w:tr w:rsidR="00037019">
        <w:trPr>
          <w:trHeight w:val="240"/>
        </w:trPr>
        <w:tc>
          <w:tcPr>
            <w:tcW w:w="9639" w:type="dxa"/>
            <w:gridSpan w:val="1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w:t>
            </w:r>
          </w:p>
        </w:tc>
      </w:tr>
      <w:tr w:rsidR="00037019" w:rsidTr="00897859">
        <w:trPr>
          <w:trHeight w:val="240"/>
        </w:trPr>
        <w:tc>
          <w:tcPr>
            <w:tcW w:w="7905"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为股东、实际控制人及其关联方提供担保的余额（D）</w:t>
            </w:r>
          </w:p>
        </w:tc>
        <w:tc>
          <w:tcPr>
            <w:tcW w:w="1734"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897859">
        <w:trPr>
          <w:trHeight w:val="240"/>
        </w:trPr>
        <w:tc>
          <w:tcPr>
            <w:tcW w:w="7905"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直接或间接为资产负债率超过70%的被担保对象提供的债务担保余额（E）</w:t>
            </w:r>
          </w:p>
        </w:tc>
        <w:tc>
          <w:tcPr>
            <w:tcW w:w="1734"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237,753.86</w:t>
            </w:r>
          </w:p>
        </w:tc>
      </w:tr>
      <w:tr w:rsidR="00037019" w:rsidTr="00897859">
        <w:trPr>
          <w:trHeight w:val="240"/>
        </w:trPr>
        <w:tc>
          <w:tcPr>
            <w:tcW w:w="7905"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担保总额超过净资产50%部分的金额（F）</w:t>
            </w:r>
          </w:p>
        </w:tc>
        <w:tc>
          <w:tcPr>
            <w:tcW w:w="1734"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252,219.19</w:t>
            </w:r>
          </w:p>
        </w:tc>
      </w:tr>
      <w:tr w:rsidR="00037019" w:rsidTr="00897859">
        <w:trPr>
          <w:trHeight w:val="240"/>
        </w:trPr>
        <w:tc>
          <w:tcPr>
            <w:tcW w:w="7905"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上述三项担保金额合计（D+E+F）</w:t>
            </w:r>
          </w:p>
        </w:tc>
        <w:tc>
          <w:tcPr>
            <w:tcW w:w="1734"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489,973.05</w:t>
            </w:r>
          </w:p>
        </w:tc>
      </w:tr>
      <w:tr w:rsidR="00037019" w:rsidTr="00897859">
        <w:trPr>
          <w:trHeight w:val="240"/>
        </w:trPr>
        <w:tc>
          <w:tcPr>
            <w:tcW w:w="7905"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对未到期担保合同，报告期内发生担保责任或有证据表明有可能承担连带清偿责任的情况说明（如有）</w:t>
            </w:r>
          </w:p>
        </w:tc>
        <w:tc>
          <w:tcPr>
            <w:tcW w:w="1734"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rsidP="00897859">
            <w:pPr>
              <w:spacing w:line="240" w:lineRule="exact"/>
              <w:jc w:val="right"/>
              <w:rPr>
                <w:rFonts w:ascii="宋体" w:eastAsia="宋体" w:hAnsi="宋体" w:cs="宋体"/>
                <w:sz w:val="18"/>
                <w:szCs w:val="18"/>
              </w:rPr>
            </w:pPr>
            <w:r>
              <w:rPr>
                <w:rFonts w:ascii="宋体" w:eastAsia="宋体" w:hAnsi="宋体" w:cs="宋体"/>
                <w:sz w:val="18"/>
                <w:szCs w:val="18"/>
              </w:rPr>
              <w:t>无</w:t>
            </w:r>
          </w:p>
        </w:tc>
      </w:tr>
      <w:tr w:rsidR="00037019" w:rsidTr="00897859">
        <w:trPr>
          <w:trHeight w:val="240"/>
        </w:trPr>
        <w:tc>
          <w:tcPr>
            <w:tcW w:w="7905"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违反规定程序对外提供担保的说明（如有）</w:t>
            </w:r>
          </w:p>
        </w:tc>
        <w:tc>
          <w:tcPr>
            <w:tcW w:w="1734"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rsidP="00897859">
            <w:pPr>
              <w:spacing w:line="240" w:lineRule="exact"/>
              <w:jc w:val="right"/>
              <w:rPr>
                <w:rFonts w:ascii="宋体" w:eastAsia="宋体" w:hAnsi="宋体" w:cs="宋体"/>
                <w:sz w:val="18"/>
                <w:szCs w:val="18"/>
              </w:rPr>
            </w:pPr>
            <w:r>
              <w:rPr>
                <w:rFonts w:ascii="宋体" w:eastAsia="宋体" w:hAnsi="宋体" w:cs="宋体"/>
                <w:sz w:val="18"/>
                <w:szCs w:val="18"/>
              </w:rPr>
              <w:t>无</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公司是否存在为经销商提供担保或财务资助</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3"/>
        <w:spacing w:line="280" w:lineRule="exact"/>
        <w:jc w:val="left"/>
        <w:rPr>
          <w:rFonts w:ascii="宋体" w:hAnsi="宋体" w:cs="宋体"/>
          <w:b/>
          <w:bCs/>
        </w:rPr>
      </w:pPr>
      <w:bookmarkStart w:id="88" w:name="_Toc988977"/>
      <w:r>
        <w:rPr>
          <w:rFonts w:ascii="宋体" w:hAnsi="宋体" w:cs="宋体"/>
          <w:b/>
          <w:bCs/>
        </w:rPr>
        <w:t>3、委托理财</w:t>
      </w:r>
      <w:bookmarkEnd w:id="8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8"/>
        <w:gridCol w:w="1606"/>
        <w:gridCol w:w="1606"/>
        <w:gridCol w:w="1606"/>
        <w:gridCol w:w="1606"/>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具体类型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委托理财的资金来源</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未到期余额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逾期未收回的金额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逾期未收回理财已计提减值金额</w:t>
            </w:r>
          </w:p>
        </w:tc>
      </w:tr>
      <w:tr w:rsidR="00037019" w:rsidTr="003940A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银行理财产品</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自有资金</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30,804.49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trPr>
          <w:trHeight w:val="240"/>
        </w:trPr>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30,804.49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单项金额重大或安全性较低、流动性较差的高风险委托理财具体情况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委托理财出现预期无法收回本金或存在其他可能导致减值的情形</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89" w:name="_Toc988978"/>
      <w:r>
        <w:rPr>
          <w:rFonts w:ascii="宋体" w:hAnsi="宋体" w:cs="宋体"/>
          <w:b/>
          <w:bCs/>
        </w:rPr>
        <w:t>4、其他重大合同</w:t>
      </w:r>
      <w:bookmarkEnd w:id="8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公司报告期不存在其他重大合同。</w:t>
      </w:r>
    </w:p>
    <w:p w:rsidR="00037019" w:rsidRDefault="00BE788E">
      <w:pPr>
        <w:pStyle w:val="2"/>
        <w:spacing w:before="300" w:after="300" w:line="320" w:lineRule="exact"/>
        <w:rPr>
          <w:rFonts w:ascii="宋体" w:eastAsia="宋体" w:hAnsi="宋体" w:cs="宋体"/>
          <w:b/>
          <w:bCs/>
          <w:sz w:val="24"/>
          <w:szCs w:val="24"/>
        </w:rPr>
      </w:pPr>
      <w:bookmarkStart w:id="90" w:name="_Toc988979"/>
      <w:r>
        <w:rPr>
          <w:rFonts w:ascii="宋体" w:eastAsia="宋体" w:hAnsi="宋体" w:cs="宋体"/>
          <w:b/>
          <w:bCs/>
          <w:sz w:val="24"/>
          <w:szCs w:val="24"/>
        </w:rPr>
        <w:t>十三、其他重大事项的说明</w:t>
      </w:r>
      <w:bookmarkEnd w:id="9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公司报告期不存在需要说明的其他重大事项。</w:t>
      </w:r>
    </w:p>
    <w:p w:rsidR="00037019" w:rsidRDefault="00BE788E">
      <w:pPr>
        <w:pStyle w:val="2"/>
        <w:spacing w:before="300" w:after="300" w:line="320" w:lineRule="exact"/>
        <w:rPr>
          <w:rFonts w:ascii="宋体" w:eastAsia="宋体" w:hAnsi="宋体" w:cs="宋体"/>
          <w:b/>
          <w:bCs/>
          <w:sz w:val="24"/>
          <w:szCs w:val="24"/>
        </w:rPr>
      </w:pPr>
      <w:bookmarkStart w:id="91" w:name="_Toc988980"/>
      <w:r>
        <w:rPr>
          <w:rFonts w:ascii="宋体" w:eastAsia="宋体" w:hAnsi="宋体" w:cs="宋体"/>
          <w:b/>
          <w:bCs/>
          <w:sz w:val="24"/>
          <w:szCs w:val="24"/>
        </w:rPr>
        <w:t>十四、公司子公司重大事项</w:t>
      </w:r>
      <w:bookmarkEnd w:id="9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BE788E" w:rsidRPr="00897859" w:rsidRDefault="00BE788E" w:rsidP="00897859">
      <w:pPr>
        <w:pStyle w:val="a3"/>
        <w:spacing w:before="0" w:beforeAutospacing="0" w:after="0" w:afterAutospacing="0"/>
        <w:ind w:firstLineChars="200" w:firstLine="360"/>
        <w:divId w:val="692536415"/>
        <w:rPr>
          <w:rFonts w:asciiTheme="minorEastAsia" w:eastAsiaTheme="minorEastAsia" w:hAnsiTheme="minorEastAsia"/>
          <w:sz w:val="18"/>
          <w:szCs w:val="18"/>
        </w:rPr>
      </w:pPr>
      <w:r w:rsidRPr="00897859">
        <w:rPr>
          <w:rFonts w:asciiTheme="minorEastAsia" w:eastAsiaTheme="minorEastAsia" w:hAnsiTheme="minorEastAsia" w:hint="eastAsia"/>
          <w:sz w:val="18"/>
          <w:szCs w:val="18"/>
        </w:rPr>
        <w:t>一、上虞华尚数</w:t>
      </w:r>
      <w:proofErr w:type="gramStart"/>
      <w:r w:rsidRPr="00897859">
        <w:rPr>
          <w:rFonts w:asciiTheme="minorEastAsia" w:eastAsiaTheme="minorEastAsia" w:hAnsiTheme="minorEastAsia" w:hint="eastAsia"/>
          <w:sz w:val="18"/>
          <w:szCs w:val="18"/>
        </w:rPr>
        <w:t>智中心AIGC智算</w:t>
      </w:r>
      <w:proofErr w:type="gramEnd"/>
      <w:r w:rsidRPr="00897859">
        <w:rPr>
          <w:rFonts w:asciiTheme="minorEastAsia" w:eastAsiaTheme="minorEastAsia" w:hAnsiTheme="minorEastAsia" w:hint="eastAsia"/>
          <w:sz w:val="18"/>
          <w:szCs w:val="18"/>
        </w:rPr>
        <w:t>中心项目</w:t>
      </w:r>
    </w:p>
    <w:p w:rsidR="00BE788E" w:rsidRPr="00897859" w:rsidRDefault="00BE788E" w:rsidP="00897859">
      <w:pPr>
        <w:pStyle w:val="a3"/>
        <w:spacing w:before="0" w:beforeAutospacing="0" w:after="0" w:afterAutospacing="0"/>
        <w:ind w:firstLineChars="200" w:firstLine="360"/>
        <w:jc w:val="both"/>
        <w:divId w:val="692536415"/>
        <w:rPr>
          <w:rFonts w:asciiTheme="minorEastAsia" w:eastAsiaTheme="minorEastAsia" w:hAnsiTheme="minorEastAsia"/>
          <w:sz w:val="18"/>
          <w:szCs w:val="18"/>
        </w:rPr>
      </w:pPr>
      <w:r w:rsidRPr="00897859">
        <w:rPr>
          <w:rFonts w:asciiTheme="minorEastAsia" w:eastAsiaTheme="minorEastAsia" w:hAnsiTheme="minorEastAsia" w:hint="eastAsia"/>
          <w:sz w:val="18"/>
          <w:szCs w:val="18"/>
        </w:rPr>
        <w:t>（1）华孚时尚股份有限公司</w:t>
      </w:r>
      <w:r w:rsidRPr="00897859">
        <w:rPr>
          <w:rFonts w:asciiTheme="minorEastAsia" w:eastAsiaTheme="minorEastAsia" w:hAnsiTheme="minorEastAsia" w:hint="eastAsia"/>
          <w:color w:val="333333"/>
          <w:sz w:val="18"/>
          <w:szCs w:val="18"/>
          <w:shd w:val="clear" w:color="auto" w:fill="FFFFFF"/>
        </w:rPr>
        <w:t>董事会于2024年1月2日召开第八届董事会2024年第一次临时会议，审议通过《关于全资子公司项目投资及签署设备采购合同的议案》，公司全资子公司浙江华孚色纺有限公司计划投资“上虞华尚数智中心AIGC智算中心项目”，项目规划建设规模3000PFLOPS AI算力，项目一期建设预计投资金额2.5亿元。详见公司于2024年1月3日发布的《关于全资子公司项目投资及签署相关设备采购合同的公告》（2024-03）。</w:t>
      </w:r>
    </w:p>
    <w:p w:rsidR="00BE788E" w:rsidRPr="00897859" w:rsidRDefault="00BE788E" w:rsidP="00897859">
      <w:pPr>
        <w:pStyle w:val="a3"/>
        <w:spacing w:before="0" w:beforeAutospacing="0" w:after="0" w:afterAutospacing="0"/>
        <w:ind w:firstLineChars="200" w:firstLine="360"/>
        <w:jc w:val="both"/>
        <w:divId w:val="692536415"/>
        <w:rPr>
          <w:rFonts w:asciiTheme="minorEastAsia" w:eastAsiaTheme="minorEastAsia" w:hAnsiTheme="minorEastAsia"/>
          <w:sz w:val="18"/>
          <w:szCs w:val="18"/>
        </w:rPr>
      </w:pPr>
      <w:r w:rsidRPr="00897859">
        <w:rPr>
          <w:rFonts w:asciiTheme="minorEastAsia" w:eastAsiaTheme="minorEastAsia" w:hAnsiTheme="minorEastAsia" w:hint="eastAsia"/>
          <w:color w:val="333333"/>
          <w:sz w:val="18"/>
          <w:szCs w:val="18"/>
          <w:shd w:val="clear" w:color="auto" w:fill="FFFFFF"/>
        </w:rPr>
        <w:t>（2）公司全资子公司浙江华孚色纺有限公司于2024年5月14日与天</w:t>
      </w:r>
      <w:proofErr w:type="gramStart"/>
      <w:r w:rsidRPr="00897859">
        <w:rPr>
          <w:rFonts w:asciiTheme="minorEastAsia" w:eastAsiaTheme="minorEastAsia" w:hAnsiTheme="minorEastAsia" w:hint="eastAsia"/>
          <w:color w:val="333333"/>
          <w:sz w:val="18"/>
          <w:szCs w:val="18"/>
          <w:shd w:val="clear" w:color="auto" w:fill="FFFFFF"/>
        </w:rPr>
        <w:t>翼云科技</w:t>
      </w:r>
      <w:proofErr w:type="gramEnd"/>
      <w:r w:rsidRPr="00897859">
        <w:rPr>
          <w:rFonts w:asciiTheme="minorEastAsia" w:eastAsiaTheme="minorEastAsia" w:hAnsiTheme="minorEastAsia" w:hint="eastAsia"/>
          <w:color w:val="333333"/>
          <w:sz w:val="18"/>
          <w:szCs w:val="18"/>
          <w:shd w:val="clear" w:color="auto" w:fill="FFFFFF"/>
        </w:rPr>
        <w:t>有限公司签署《采购算力服务确认书》，天</w:t>
      </w:r>
      <w:proofErr w:type="gramStart"/>
      <w:r w:rsidRPr="00897859">
        <w:rPr>
          <w:rFonts w:asciiTheme="minorEastAsia" w:eastAsiaTheme="minorEastAsia" w:hAnsiTheme="minorEastAsia" w:hint="eastAsia"/>
          <w:color w:val="333333"/>
          <w:sz w:val="18"/>
          <w:szCs w:val="18"/>
          <w:shd w:val="clear" w:color="auto" w:fill="FFFFFF"/>
        </w:rPr>
        <w:t>翼云科技</w:t>
      </w:r>
      <w:proofErr w:type="gramEnd"/>
      <w:r w:rsidRPr="00897859">
        <w:rPr>
          <w:rFonts w:asciiTheme="minorEastAsia" w:eastAsiaTheme="minorEastAsia" w:hAnsiTheme="minorEastAsia" w:hint="eastAsia"/>
          <w:color w:val="333333"/>
          <w:sz w:val="18"/>
          <w:szCs w:val="18"/>
          <w:shd w:val="clear" w:color="auto" w:fill="FFFFFF"/>
        </w:rPr>
        <w:t>有限公司向浙江华孚色纺有限公司采购</w:t>
      </w:r>
      <w:proofErr w:type="gramStart"/>
      <w:r w:rsidRPr="00897859">
        <w:rPr>
          <w:rFonts w:asciiTheme="minorEastAsia" w:eastAsiaTheme="minorEastAsia" w:hAnsiTheme="minorEastAsia" w:hint="eastAsia"/>
          <w:color w:val="333333"/>
          <w:sz w:val="18"/>
          <w:szCs w:val="18"/>
          <w:shd w:val="clear" w:color="auto" w:fill="FFFFFF"/>
        </w:rPr>
        <w:t>算力云</w:t>
      </w:r>
      <w:proofErr w:type="gramEnd"/>
      <w:r w:rsidRPr="00897859">
        <w:rPr>
          <w:rFonts w:asciiTheme="minorEastAsia" w:eastAsiaTheme="minorEastAsia" w:hAnsiTheme="minorEastAsia" w:hint="eastAsia"/>
          <w:color w:val="333333"/>
          <w:sz w:val="18"/>
          <w:szCs w:val="18"/>
          <w:shd w:val="clear" w:color="auto" w:fill="FFFFFF"/>
        </w:rPr>
        <w:t>服务。本次合同金额预估总价2,573.38万元，期限一年，按月支付，按实结算，自交付成功之日起算。详见公司于2024年5月15日发布的《关于签署战略合作框架协议及算力服务确认书的公告》（2024-36）。</w:t>
      </w:r>
    </w:p>
    <w:p w:rsidR="00BE788E" w:rsidRPr="00897859" w:rsidRDefault="00BE788E" w:rsidP="00897859">
      <w:pPr>
        <w:pStyle w:val="a3"/>
        <w:spacing w:before="0" w:beforeAutospacing="0" w:after="0" w:afterAutospacing="0"/>
        <w:ind w:firstLineChars="200" w:firstLine="360"/>
        <w:jc w:val="both"/>
        <w:divId w:val="692536415"/>
        <w:rPr>
          <w:rFonts w:asciiTheme="minorEastAsia" w:eastAsiaTheme="minorEastAsia" w:hAnsiTheme="minorEastAsia"/>
          <w:sz w:val="18"/>
          <w:szCs w:val="18"/>
        </w:rPr>
      </w:pPr>
      <w:r w:rsidRPr="00897859">
        <w:rPr>
          <w:rFonts w:asciiTheme="minorEastAsia" w:eastAsiaTheme="minorEastAsia" w:hAnsiTheme="minorEastAsia" w:hint="eastAsia"/>
          <w:color w:val="333333"/>
          <w:sz w:val="18"/>
          <w:szCs w:val="18"/>
          <w:shd w:val="clear" w:color="auto" w:fill="FFFFFF"/>
        </w:rPr>
        <w:t>二、新疆阿克苏城市</w:t>
      </w:r>
      <w:proofErr w:type="gramStart"/>
      <w:r w:rsidRPr="00897859">
        <w:rPr>
          <w:rFonts w:asciiTheme="minorEastAsia" w:eastAsiaTheme="minorEastAsia" w:hAnsiTheme="minorEastAsia" w:hint="eastAsia"/>
          <w:color w:val="333333"/>
          <w:sz w:val="18"/>
          <w:szCs w:val="18"/>
          <w:shd w:val="clear" w:color="auto" w:fill="FFFFFF"/>
        </w:rPr>
        <w:t>公共算力平台</w:t>
      </w:r>
      <w:proofErr w:type="gramEnd"/>
      <w:r w:rsidRPr="00897859">
        <w:rPr>
          <w:rFonts w:asciiTheme="minorEastAsia" w:eastAsiaTheme="minorEastAsia" w:hAnsiTheme="minorEastAsia" w:hint="eastAsia"/>
          <w:color w:val="333333"/>
          <w:sz w:val="18"/>
          <w:szCs w:val="18"/>
          <w:shd w:val="clear" w:color="auto" w:fill="FFFFFF"/>
        </w:rPr>
        <w:t>项目</w:t>
      </w:r>
    </w:p>
    <w:p w:rsidR="00BE788E" w:rsidRPr="00897859" w:rsidRDefault="00BE788E" w:rsidP="00897859">
      <w:pPr>
        <w:pStyle w:val="a3"/>
        <w:spacing w:before="0" w:beforeAutospacing="0" w:after="0" w:afterAutospacing="0"/>
        <w:ind w:firstLineChars="200" w:firstLine="360"/>
        <w:jc w:val="both"/>
        <w:divId w:val="692536415"/>
        <w:rPr>
          <w:rFonts w:asciiTheme="minorEastAsia" w:eastAsiaTheme="minorEastAsia" w:hAnsiTheme="minorEastAsia"/>
          <w:sz w:val="18"/>
          <w:szCs w:val="18"/>
        </w:rPr>
      </w:pPr>
      <w:r w:rsidRPr="00897859">
        <w:rPr>
          <w:rFonts w:asciiTheme="minorEastAsia" w:eastAsiaTheme="minorEastAsia" w:hAnsiTheme="minorEastAsia" w:hint="eastAsia"/>
          <w:color w:val="333333"/>
          <w:sz w:val="18"/>
          <w:szCs w:val="18"/>
          <w:shd w:val="clear" w:color="auto" w:fill="FFFFFF"/>
        </w:rPr>
        <w:t>（1）华孚时尚股份有限公司于2024年4月25日召开第八届董事会第七次会议，审议通过《关于投资新疆智能算力集群项目的议案》，公司通过下属子公司新疆华孚人工智能科技有限公司投资新疆阿克苏城市</w:t>
      </w:r>
      <w:proofErr w:type="gramStart"/>
      <w:r w:rsidRPr="00897859">
        <w:rPr>
          <w:rFonts w:asciiTheme="minorEastAsia" w:eastAsiaTheme="minorEastAsia" w:hAnsiTheme="minorEastAsia" w:hint="eastAsia"/>
          <w:color w:val="333333"/>
          <w:sz w:val="18"/>
          <w:szCs w:val="18"/>
          <w:shd w:val="clear" w:color="auto" w:fill="FFFFFF"/>
        </w:rPr>
        <w:t>公共算力平台</w:t>
      </w:r>
      <w:proofErr w:type="gramEnd"/>
      <w:r w:rsidRPr="00897859">
        <w:rPr>
          <w:rFonts w:asciiTheme="minorEastAsia" w:eastAsiaTheme="minorEastAsia" w:hAnsiTheme="minorEastAsia" w:hint="eastAsia"/>
          <w:color w:val="333333"/>
          <w:sz w:val="18"/>
          <w:szCs w:val="18"/>
          <w:shd w:val="clear" w:color="auto" w:fill="FFFFFF"/>
        </w:rPr>
        <w:t>项目。其中新疆阿克苏城市</w:t>
      </w:r>
      <w:proofErr w:type="gramStart"/>
      <w:r w:rsidRPr="00897859">
        <w:rPr>
          <w:rFonts w:asciiTheme="minorEastAsia" w:eastAsiaTheme="minorEastAsia" w:hAnsiTheme="minorEastAsia" w:hint="eastAsia"/>
          <w:color w:val="333333"/>
          <w:sz w:val="18"/>
          <w:szCs w:val="18"/>
          <w:shd w:val="clear" w:color="auto" w:fill="FFFFFF"/>
        </w:rPr>
        <w:t>公共算力平台</w:t>
      </w:r>
      <w:proofErr w:type="gramEnd"/>
      <w:r w:rsidRPr="00897859">
        <w:rPr>
          <w:rFonts w:asciiTheme="minorEastAsia" w:eastAsiaTheme="minorEastAsia" w:hAnsiTheme="minorEastAsia" w:hint="eastAsia"/>
          <w:color w:val="333333"/>
          <w:sz w:val="18"/>
          <w:szCs w:val="18"/>
          <w:shd w:val="clear" w:color="auto" w:fill="FFFFFF"/>
        </w:rPr>
        <w:t>项目一期投资金额27.2亿元，详见公司于2024年4月27日发布的《关于投资新疆智能算力集群项目的公告》（2024-32）。</w:t>
      </w:r>
    </w:p>
    <w:p w:rsidR="00BE788E" w:rsidRPr="00897859" w:rsidRDefault="00BE788E" w:rsidP="00897859">
      <w:pPr>
        <w:pStyle w:val="a3"/>
        <w:spacing w:before="0" w:beforeAutospacing="0" w:after="0" w:afterAutospacing="0"/>
        <w:ind w:firstLineChars="200" w:firstLine="360"/>
        <w:jc w:val="both"/>
        <w:divId w:val="692536415"/>
        <w:rPr>
          <w:rFonts w:asciiTheme="minorEastAsia" w:eastAsiaTheme="minorEastAsia" w:hAnsiTheme="minorEastAsia"/>
          <w:sz w:val="18"/>
          <w:szCs w:val="18"/>
        </w:rPr>
      </w:pPr>
      <w:r w:rsidRPr="00897859">
        <w:rPr>
          <w:rFonts w:asciiTheme="minorEastAsia" w:eastAsiaTheme="minorEastAsia" w:hAnsiTheme="minorEastAsia" w:hint="eastAsia"/>
          <w:color w:val="333333"/>
          <w:sz w:val="18"/>
          <w:szCs w:val="18"/>
          <w:shd w:val="clear" w:color="auto" w:fill="FFFFFF"/>
        </w:rPr>
        <w:t>（2）公司子公司阿克苏华</w:t>
      </w:r>
      <w:proofErr w:type="gramStart"/>
      <w:r w:rsidRPr="00897859">
        <w:rPr>
          <w:rFonts w:asciiTheme="minorEastAsia" w:eastAsiaTheme="minorEastAsia" w:hAnsiTheme="minorEastAsia" w:hint="eastAsia"/>
          <w:color w:val="333333"/>
          <w:sz w:val="18"/>
          <w:szCs w:val="18"/>
          <w:shd w:val="clear" w:color="auto" w:fill="FFFFFF"/>
        </w:rPr>
        <w:t>孚科技</w:t>
      </w:r>
      <w:proofErr w:type="gramEnd"/>
      <w:r w:rsidRPr="00897859">
        <w:rPr>
          <w:rFonts w:asciiTheme="minorEastAsia" w:eastAsiaTheme="minorEastAsia" w:hAnsiTheme="minorEastAsia" w:hint="eastAsia"/>
          <w:color w:val="333333"/>
          <w:sz w:val="18"/>
          <w:szCs w:val="18"/>
          <w:shd w:val="clear" w:color="auto" w:fill="FFFFFF"/>
        </w:rPr>
        <w:t>有限公司于2024年7月12日分别与河南昆仑技术有限公司、四川华鲲振宇智能科技有限责任公司签署了《设备与服务框架销售合同》、《设备与服务合作框架协议》，双方同意阿克苏</w:t>
      </w:r>
      <w:proofErr w:type="gramStart"/>
      <w:r w:rsidRPr="00897859">
        <w:rPr>
          <w:rFonts w:asciiTheme="minorEastAsia" w:eastAsiaTheme="minorEastAsia" w:hAnsiTheme="minorEastAsia" w:hint="eastAsia"/>
          <w:color w:val="333333"/>
          <w:sz w:val="18"/>
          <w:szCs w:val="18"/>
          <w:shd w:val="clear" w:color="auto" w:fill="FFFFFF"/>
        </w:rPr>
        <w:t>华孚向昆仑</w:t>
      </w:r>
      <w:proofErr w:type="gramEnd"/>
      <w:r w:rsidRPr="00897859">
        <w:rPr>
          <w:rFonts w:asciiTheme="minorEastAsia" w:eastAsiaTheme="minorEastAsia" w:hAnsiTheme="minorEastAsia" w:hint="eastAsia"/>
          <w:color w:val="333333"/>
          <w:sz w:val="18"/>
          <w:szCs w:val="18"/>
          <w:shd w:val="clear" w:color="auto" w:fill="FFFFFF"/>
        </w:rPr>
        <w:t>技术、华鲲振宇采购阿克苏城市</w:t>
      </w:r>
      <w:proofErr w:type="gramStart"/>
      <w:r w:rsidRPr="00897859">
        <w:rPr>
          <w:rFonts w:asciiTheme="minorEastAsia" w:eastAsiaTheme="minorEastAsia" w:hAnsiTheme="minorEastAsia" w:hint="eastAsia"/>
          <w:color w:val="333333"/>
          <w:sz w:val="18"/>
          <w:szCs w:val="18"/>
          <w:shd w:val="clear" w:color="auto" w:fill="FFFFFF"/>
        </w:rPr>
        <w:t>公共算力平台</w:t>
      </w:r>
      <w:proofErr w:type="gramEnd"/>
      <w:r w:rsidRPr="00897859">
        <w:rPr>
          <w:rFonts w:asciiTheme="minorEastAsia" w:eastAsiaTheme="minorEastAsia" w:hAnsiTheme="minorEastAsia" w:hint="eastAsia"/>
          <w:color w:val="333333"/>
          <w:sz w:val="18"/>
          <w:szCs w:val="18"/>
          <w:shd w:val="clear" w:color="auto" w:fill="FFFFFF"/>
        </w:rPr>
        <w:t>项目所需设备及服务，合同总金额分别不低于107,000万元、106,000万元。详见公司于2024年7月13日发布的《关于设备采购暨投资新疆智能算力集群项目的进展公告》（2024-43）。</w:t>
      </w:r>
    </w:p>
    <w:p w:rsidR="00037019" w:rsidRDefault="00BE788E" w:rsidP="00897859">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92" w:name="_Toc988981"/>
      <w:r>
        <w:rPr>
          <w:rFonts w:ascii="宋体" w:eastAsia="宋体" w:hAnsi="宋体" w:cs="宋体"/>
          <w:b/>
          <w:bCs/>
          <w:sz w:val="32"/>
          <w:szCs w:val="32"/>
        </w:rPr>
        <w:lastRenderedPageBreak/>
        <w:t>第七节 股份变动及股东情况</w:t>
      </w:r>
      <w:bookmarkEnd w:id="92"/>
    </w:p>
    <w:p w:rsidR="00037019" w:rsidRDefault="00BE788E">
      <w:pPr>
        <w:pStyle w:val="2"/>
        <w:spacing w:before="300" w:after="300" w:line="320" w:lineRule="exact"/>
        <w:rPr>
          <w:rFonts w:ascii="宋体" w:eastAsia="宋体" w:hAnsi="宋体" w:cs="宋体"/>
          <w:b/>
          <w:bCs/>
          <w:sz w:val="24"/>
          <w:szCs w:val="24"/>
        </w:rPr>
      </w:pPr>
      <w:bookmarkStart w:id="93" w:name="_Toc988982"/>
      <w:r>
        <w:rPr>
          <w:rFonts w:ascii="宋体" w:eastAsia="宋体" w:hAnsi="宋体" w:cs="宋体"/>
          <w:b/>
          <w:bCs/>
          <w:sz w:val="24"/>
          <w:szCs w:val="24"/>
        </w:rPr>
        <w:t>一、股份变动情况</w:t>
      </w:r>
      <w:bookmarkEnd w:id="93"/>
    </w:p>
    <w:p w:rsidR="00037019" w:rsidRDefault="00BE788E">
      <w:pPr>
        <w:pStyle w:val="3"/>
        <w:spacing w:line="280" w:lineRule="exact"/>
        <w:jc w:val="left"/>
        <w:rPr>
          <w:rFonts w:ascii="宋体" w:hAnsi="宋体" w:cs="宋体"/>
          <w:b/>
          <w:bCs/>
        </w:rPr>
      </w:pPr>
      <w:bookmarkStart w:id="94" w:name="_Toc988983"/>
      <w:r>
        <w:rPr>
          <w:rFonts w:ascii="宋体" w:hAnsi="宋体" w:cs="宋体"/>
          <w:b/>
          <w:bCs/>
        </w:rPr>
        <w:t>1、股份变动情况</w:t>
      </w:r>
      <w:bookmarkEnd w:id="9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417"/>
        <w:gridCol w:w="993"/>
        <w:gridCol w:w="708"/>
        <w:gridCol w:w="426"/>
        <w:gridCol w:w="850"/>
        <w:gridCol w:w="425"/>
        <w:gridCol w:w="426"/>
        <w:gridCol w:w="1417"/>
        <w:gridCol w:w="884"/>
      </w:tblGrid>
      <w:tr w:rsidR="00037019" w:rsidTr="00B566E0">
        <w:trPr>
          <w:trHeight w:val="240"/>
        </w:trPr>
        <w:tc>
          <w:tcPr>
            <w:tcW w:w="20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本次变动前</w:t>
            </w:r>
          </w:p>
        </w:tc>
        <w:tc>
          <w:tcPr>
            <w:tcW w:w="2835"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230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本次变动后</w:t>
            </w:r>
          </w:p>
        </w:tc>
      </w:tr>
      <w:tr w:rsidR="00037019" w:rsidTr="00B566E0">
        <w:trPr>
          <w:trHeight w:val="240"/>
        </w:trPr>
        <w:tc>
          <w:tcPr>
            <w:tcW w:w="20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7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4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42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4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一、有限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1、国家持股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2、国有法人持股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3、其他内资持股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其中：境内法人持股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境内自然人持股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4、外资持股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其中：境外法人持股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境外自然人持股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二、无限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1、人民币普通股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2、境内上市的外资股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3、境外上市的外资股</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4、其他</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B566E0">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三、股份总数</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股份变动的原因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股份变动的批准情况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股份变动的过户情况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股份回购的实施进展情况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一、2024年股份回购事项</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1、公司于2024年1月31日召开第八届董事会2024年第二次临时会议，审议通过了《关于2024年回购公司股份方案的议案》，公司拟使用自有资金以集中竞价交易方式回购已发行的人民币普通股（A股）股份，回购股</w:t>
      </w:r>
      <w:proofErr w:type="gramStart"/>
      <w:r w:rsidRPr="003D672D">
        <w:rPr>
          <w:rFonts w:asciiTheme="minorEastAsia" w:eastAsiaTheme="minorEastAsia" w:hAnsiTheme="minorEastAsia" w:cs="Calibri" w:hint="eastAsia"/>
          <w:color w:val="000000"/>
          <w:sz w:val="18"/>
          <w:szCs w:val="18"/>
        </w:rPr>
        <w:t>份用于</w:t>
      </w:r>
      <w:proofErr w:type="gramEnd"/>
      <w:r w:rsidRPr="003D672D">
        <w:rPr>
          <w:rFonts w:asciiTheme="minorEastAsia" w:eastAsiaTheme="minorEastAsia" w:hAnsiTheme="minorEastAsia" w:cs="Calibri" w:hint="eastAsia"/>
          <w:color w:val="000000"/>
          <w:sz w:val="18"/>
          <w:szCs w:val="18"/>
        </w:rPr>
        <w:t>维护公司价值及股东权益，后续将按相关规定予以出售。回购总金额为不低于人民币10,000万元,不超过人民币20,000万元，回购价格不超过5.5元/股，回购股份的实施期限为自董事会审议通过本次回购股</w:t>
      </w:r>
      <w:proofErr w:type="gramStart"/>
      <w:r w:rsidRPr="003D672D">
        <w:rPr>
          <w:rFonts w:asciiTheme="minorEastAsia" w:eastAsiaTheme="minorEastAsia" w:hAnsiTheme="minorEastAsia" w:cs="Calibri" w:hint="eastAsia"/>
          <w:color w:val="000000"/>
          <w:sz w:val="18"/>
          <w:szCs w:val="18"/>
        </w:rPr>
        <w:t>份方案</w:t>
      </w:r>
      <w:proofErr w:type="gramEnd"/>
      <w:r w:rsidRPr="003D672D">
        <w:rPr>
          <w:rFonts w:asciiTheme="minorEastAsia" w:eastAsiaTheme="minorEastAsia" w:hAnsiTheme="minorEastAsia" w:cs="Calibri" w:hint="eastAsia"/>
          <w:color w:val="000000"/>
          <w:sz w:val="18"/>
          <w:szCs w:val="18"/>
        </w:rPr>
        <w:t>之日起不超过三个月。详见公司</w:t>
      </w:r>
      <w:r w:rsidRPr="003D672D">
        <w:rPr>
          <w:rFonts w:asciiTheme="minorEastAsia" w:eastAsiaTheme="minorEastAsia" w:hAnsiTheme="minorEastAsia" w:cs="Calibri" w:hint="eastAsia"/>
          <w:color w:val="000000"/>
          <w:sz w:val="18"/>
          <w:szCs w:val="18"/>
        </w:rPr>
        <w:lastRenderedPageBreak/>
        <w:t>于2024年2月1日刊登在《中国证券报》、《证券时报》及巨潮资讯网（www.cninfo.com.cn）上的《关于2024年回购公司股份方案的公告》（2024-09）。</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2、2024年2月1日，公司通过股份回购专用证券账户以集中竞价方式实施了首次回购，回购股份数量2,706,100股，占公司目前总股本的0.16%。最高成交价格3.11元/股，最低成交价格2.99元/股，成交总金额为828.63万元（不含手续费）。具体详见2024年2月2日公司于《中国证券报》、《证券时报》及巨潮资讯网（www.cninfo.com.cn）披露的《关于2024年回购公司股份方案首次回购暨回购进展的公告》（2024-11）。</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3、公司自2024年2月1日首次回购之日起至2024年2月2日，通过股份回购专用证券账户以集中竞价方式回购股份数量19,445,300股，占公司目前总股本的1.14%。最高成交价格3.11元/股，最低成交价格2.80元/股，成交总金额为57,789,928.00元（不含手续费）。具体详见2024年2月6日公司于《中国证券报》、《证券时报》及巨潮资讯网（www.cninfo.com.cn）披露的《关于2024年回购公司股份比例达到1%暨回购股份进展公告》（2024-12）。</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4、公司自2024年2月1日首次回购之日起至2024年2月7日，通过股份回购专用证券账户以集中竞价方式回购股份数量33,999,171股，占公司目前总股本的2.00%。最高成交价格3.11元/股，最低成交价格2.51元/股，成交总金额为98,343,553.86元（不含手续费）。具体详见2024年2月8日公司于《中国证券报》、《证券时报》及巨潮资讯网（www.cninfo.com.cn）披露的《关于2024年回购公司股份比例达到2%暨回购股份进展公告》（2024-13）。</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5、公司自2024年2月1日首次回购之日起至2024年2月29日，通过股份回购专用证券账户以集中竞价方式回购股份数量34,249,171股，占公司目前总股本的2.01%。最高成交价格3.90元/股，最低成交价格2.51元/股，成交总金额为99,318,553.86元（不含手续费）。具体详见2024年3月5日公司于《中国证券报》、《证券时报》及巨潮资讯网（www.cninfo.com.cn）披露的《关于2024年回购公司股份进展的公告》（2024-15）。</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color w:val="000000"/>
          <w:sz w:val="18"/>
          <w:szCs w:val="18"/>
        </w:rPr>
        <w:t>6、公司自2024年2月1日首次回购之日起至2024年3月31日，通过股份回购专用证券账户以集中竞价方式回购股份数量34,249,171股，占公司目前总股本的2.01%。最高成交价格3.90元/股，最低成交价格2.51元/股，成交总金额为99,318,553.86元（不含手续费）。具体详见2024年4月2日公司于《中国证券报》、《证券时报》及巨潮资讯网（www.cninfo.com.cn）披露的《关于2024年回购公司股份进展的公告》（2024-16）。</w:t>
      </w:r>
    </w:p>
    <w:p w:rsidR="00BE788E" w:rsidRPr="003D672D" w:rsidRDefault="00BE788E" w:rsidP="003D672D">
      <w:pPr>
        <w:pStyle w:val="a3"/>
        <w:spacing w:before="0" w:beforeAutospacing="0" w:after="0" w:afterAutospacing="0"/>
        <w:ind w:firstLine="420"/>
        <w:jc w:val="both"/>
        <w:divId w:val="400174489"/>
        <w:rPr>
          <w:rFonts w:asciiTheme="minorEastAsia" w:eastAsiaTheme="minorEastAsia" w:hAnsiTheme="minorEastAsia" w:cs="Calibri"/>
        </w:rPr>
      </w:pPr>
      <w:r w:rsidRPr="003D672D">
        <w:rPr>
          <w:rFonts w:asciiTheme="minorEastAsia" w:eastAsiaTheme="minorEastAsia" w:hAnsiTheme="minorEastAsia" w:cs="Calibri" w:hint="eastAsia"/>
          <w:sz w:val="18"/>
          <w:szCs w:val="18"/>
        </w:rPr>
        <w:t>7、</w:t>
      </w:r>
      <w:r w:rsidRPr="003D672D">
        <w:rPr>
          <w:rFonts w:asciiTheme="minorEastAsia" w:eastAsiaTheme="minorEastAsia" w:hAnsiTheme="minorEastAsia" w:cs="Calibri" w:hint="eastAsia"/>
          <w:sz w:val="18"/>
          <w:szCs w:val="18"/>
          <w:shd w:val="clear" w:color="auto" w:fill="FFFFFF"/>
        </w:rPr>
        <w:t>截至2024年4月30日，公司本次股份回购期限届满。在回购期间，公司通过股份回购专用证券账户以集中竞价交易方式累计回购公司股票34,403,171股，占公司总股本的2.02%（以公司截止2024年4月30日总股本1,700,681,355股为基准），实际回购期间为2024年2月1日至2024年4月8日，其中最高成交价为4.57元/股，最低成交价为2.51元/股，成交总金额为人民100,020,993.86元（不含交易费用）。本次回购符合相关法律法规的要求，符合公司既定的回购方案，本次回购股</w:t>
      </w:r>
      <w:proofErr w:type="gramStart"/>
      <w:r w:rsidRPr="003D672D">
        <w:rPr>
          <w:rFonts w:asciiTheme="minorEastAsia" w:eastAsiaTheme="minorEastAsia" w:hAnsiTheme="minorEastAsia" w:cs="Calibri" w:hint="eastAsia"/>
          <w:sz w:val="18"/>
          <w:szCs w:val="18"/>
          <w:shd w:val="clear" w:color="auto" w:fill="FFFFFF"/>
        </w:rPr>
        <w:t>份方案</w:t>
      </w:r>
      <w:proofErr w:type="gramEnd"/>
      <w:r w:rsidRPr="003D672D">
        <w:rPr>
          <w:rFonts w:asciiTheme="minorEastAsia" w:eastAsiaTheme="minorEastAsia" w:hAnsiTheme="minorEastAsia" w:cs="Calibri" w:hint="eastAsia"/>
          <w:sz w:val="18"/>
          <w:szCs w:val="18"/>
          <w:shd w:val="clear" w:color="auto" w:fill="FFFFFF"/>
        </w:rPr>
        <w:t>已实施完毕。详见公司于2024年5月7日发布的《</w:t>
      </w:r>
      <w:r w:rsidRPr="003D672D">
        <w:rPr>
          <w:rFonts w:asciiTheme="minorEastAsia" w:eastAsiaTheme="minorEastAsia" w:hAnsiTheme="minorEastAsia" w:cs="Calibri" w:hint="eastAsia"/>
          <w:color w:val="333333"/>
          <w:sz w:val="18"/>
          <w:szCs w:val="18"/>
          <w:shd w:val="clear" w:color="auto" w:fill="FFFFFF"/>
        </w:rPr>
        <w:t>关于2024年回购公司股份方案实施完毕暨股份变动的公告》（2024-35）。</w:t>
      </w:r>
    </w:p>
    <w:p w:rsidR="00037019" w:rsidRPr="003D672D" w:rsidRDefault="00BE788E" w:rsidP="003D672D">
      <w:pPr>
        <w:rPr>
          <w:rFonts w:asciiTheme="minorEastAsia" w:hAnsiTheme="minorEastAsia" w:cs="宋体"/>
          <w:sz w:val="18"/>
          <w:szCs w:val="18"/>
        </w:rPr>
      </w:pPr>
      <w:r w:rsidRPr="003D672D">
        <w:rPr>
          <w:rFonts w:asciiTheme="minorEastAsia" w:hAnsiTheme="minorEastAsia" w:cs="宋体"/>
          <w:sz w:val="18"/>
          <w:szCs w:val="18"/>
        </w:rPr>
        <w:t>采用集中竞价方式减持回购股份的实施进展情况</w:t>
      </w:r>
    </w:p>
    <w:p w:rsidR="00037019" w:rsidRPr="003D672D" w:rsidRDefault="00BE788E" w:rsidP="003D672D">
      <w:pPr>
        <w:rPr>
          <w:rFonts w:asciiTheme="minorEastAsia" w:hAnsiTheme="minorEastAsia" w:cs="宋体"/>
          <w:sz w:val="18"/>
          <w:szCs w:val="18"/>
        </w:rPr>
      </w:pPr>
      <w:r w:rsidRPr="003D672D">
        <w:rPr>
          <w:rFonts w:asciiTheme="minorEastAsia" w:hAnsiTheme="minorEastAsia" w:cs="宋体"/>
          <w:sz w:val="18"/>
          <w:szCs w:val="18"/>
        </w:rPr>
        <w:t xml:space="preserve">□适用 </w:t>
      </w:r>
      <w:r w:rsidRPr="003D672D">
        <w:rPr>
          <w:rFonts w:asciiTheme="minorEastAsia" w:hAnsiTheme="minorEastAsia" w:cs="宋体"/>
          <w:sz w:val="18"/>
          <w:szCs w:val="18"/>
        </w:rPr>
        <w:sym w:font="Wingdings 2" w:char="F052"/>
      </w:r>
      <w:r w:rsidRPr="003D672D">
        <w:rPr>
          <w:rFonts w:asciiTheme="minorEastAsia" w:hAnsiTheme="minorEastAsia" w:cs="宋体"/>
          <w:sz w:val="18"/>
          <w:szCs w:val="18"/>
        </w:rPr>
        <w:t>不适用</w:t>
      </w:r>
    </w:p>
    <w:p w:rsidR="00037019" w:rsidRPr="003D672D" w:rsidRDefault="00BE788E" w:rsidP="003D672D">
      <w:pPr>
        <w:rPr>
          <w:rFonts w:asciiTheme="minorEastAsia" w:hAnsiTheme="minorEastAsia" w:cs="宋体"/>
          <w:sz w:val="18"/>
          <w:szCs w:val="18"/>
        </w:rPr>
      </w:pPr>
      <w:r w:rsidRPr="003D672D">
        <w:rPr>
          <w:rFonts w:asciiTheme="minorEastAsia" w:hAnsiTheme="minorEastAsia" w:cs="宋体"/>
          <w:sz w:val="18"/>
          <w:szCs w:val="18"/>
        </w:rPr>
        <w:t>股份变动对最近一年和最近一期基本每股收益和稀释每股收益、归属于公司普通股股东的每股净资产等财务指标的影响</w:t>
      </w:r>
    </w:p>
    <w:p w:rsidR="00037019" w:rsidRPr="003D672D" w:rsidRDefault="00BE788E" w:rsidP="003D672D">
      <w:pPr>
        <w:rPr>
          <w:rFonts w:asciiTheme="minorEastAsia" w:hAnsiTheme="minorEastAsia" w:cs="宋体"/>
          <w:sz w:val="18"/>
          <w:szCs w:val="18"/>
        </w:rPr>
      </w:pPr>
      <w:r w:rsidRPr="003D672D">
        <w:rPr>
          <w:rFonts w:asciiTheme="minorEastAsia" w:hAnsiTheme="minorEastAsia" w:cs="宋体"/>
          <w:sz w:val="18"/>
          <w:szCs w:val="18"/>
        </w:rPr>
        <w:t xml:space="preserve">□适用 </w:t>
      </w:r>
      <w:r w:rsidRPr="003D672D">
        <w:rPr>
          <w:rFonts w:asciiTheme="minorEastAsia" w:hAnsiTheme="minorEastAsia" w:cs="宋体"/>
          <w:sz w:val="18"/>
          <w:szCs w:val="18"/>
        </w:rPr>
        <w:sym w:font="Wingdings 2" w:char="F052"/>
      </w:r>
      <w:r w:rsidRPr="003D672D">
        <w:rPr>
          <w:rFonts w:asciiTheme="minorEastAsia" w:hAnsiTheme="minorEastAsia" w:cs="宋体"/>
          <w:sz w:val="18"/>
          <w:szCs w:val="18"/>
        </w:rPr>
        <w:t>不适用</w:t>
      </w:r>
    </w:p>
    <w:p w:rsidR="00037019" w:rsidRPr="003D672D" w:rsidRDefault="00BE788E" w:rsidP="003D672D">
      <w:pPr>
        <w:rPr>
          <w:rFonts w:asciiTheme="minorEastAsia" w:hAnsiTheme="minorEastAsia" w:cs="宋体"/>
          <w:sz w:val="18"/>
          <w:szCs w:val="18"/>
        </w:rPr>
      </w:pPr>
      <w:r w:rsidRPr="003D672D">
        <w:rPr>
          <w:rFonts w:asciiTheme="minorEastAsia" w:hAnsiTheme="minorEastAsia" w:cs="宋体"/>
          <w:sz w:val="18"/>
          <w:szCs w:val="18"/>
        </w:rPr>
        <w:t>公司认为必要或证券监管机构要求披露的其他内容</w:t>
      </w:r>
    </w:p>
    <w:p w:rsidR="00037019" w:rsidRPr="003D672D" w:rsidRDefault="00BE788E" w:rsidP="003D672D">
      <w:pPr>
        <w:rPr>
          <w:rFonts w:asciiTheme="minorEastAsia" w:hAnsiTheme="minorEastAsia" w:cs="宋体"/>
          <w:sz w:val="18"/>
          <w:szCs w:val="18"/>
        </w:rPr>
      </w:pPr>
      <w:r w:rsidRPr="003D672D">
        <w:rPr>
          <w:rFonts w:asciiTheme="minorEastAsia" w:hAnsiTheme="minorEastAsia" w:cs="宋体"/>
          <w:sz w:val="18"/>
          <w:szCs w:val="18"/>
        </w:rPr>
        <w:t xml:space="preserve">□适用 </w:t>
      </w:r>
      <w:r w:rsidRPr="003D672D">
        <w:rPr>
          <w:rFonts w:asciiTheme="minorEastAsia" w:hAnsiTheme="minorEastAsia" w:cs="宋体"/>
          <w:sz w:val="18"/>
          <w:szCs w:val="18"/>
        </w:rPr>
        <w:sym w:font="Wingdings 2" w:char="F052"/>
      </w:r>
      <w:r w:rsidRPr="003D672D">
        <w:rPr>
          <w:rFonts w:asciiTheme="minorEastAsia" w:hAnsiTheme="minorEastAsia" w:cs="宋体"/>
          <w:sz w:val="18"/>
          <w:szCs w:val="18"/>
        </w:rPr>
        <w:t>不适用</w:t>
      </w:r>
    </w:p>
    <w:p w:rsidR="00037019" w:rsidRDefault="00BE788E">
      <w:pPr>
        <w:pStyle w:val="3"/>
        <w:spacing w:line="280" w:lineRule="exact"/>
        <w:jc w:val="left"/>
        <w:rPr>
          <w:rFonts w:ascii="宋体" w:hAnsi="宋体" w:cs="宋体"/>
          <w:b/>
          <w:bCs/>
        </w:rPr>
      </w:pPr>
      <w:bookmarkStart w:id="95" w:name="_Toc988984"/>
      <w:r>
        <w:rPr>
          <w:rFonts w:ascii="宋体" w:hAnsi="宋体" w:cs="宋体"/>
          <w:b/>
          <w:bCs/>
        </w:rPr>
        <w:t>2、限售股份变动情况</w:t>
      </w:r>
      <w:bookmarkEnd w:id="9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96" w:name="_Toc988985"/>
      <w:r>
        <w:rPr>
          <w:rFonts w:ascii="宋体" w:eastAsia="宋体" w:hAnsi="宋体" w:cs="宋体"/>
          <w:b/>
          <w:bCs/>
          <w:sz w:val="24"/>
          <w:szCs w:val="24"/>
        </w:rPr>
        <w:t>二、证券发行与上市情况</w:t>
      </w:r>
      <w:bookmarkEnd w:id="9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2"/>
        <w:spacing w:before="300" w:after="300" w:line="320" w:lineRule="exact"/>
        <w:rPr>
          <w:rFonts w:ascii="宋体" w:eastAsia="宋体" w:hAnsi="宋体" w:cs="宋体"/>
          <w:b/>
          <w:bCs/>
          <w:sz w:val="24"/>
          <w:szCs w:val="24"/>
        </w:rPr>
      </w:pPr>
      <w:bookmarkStart w:id="97" w:name="_Toc988986"/>
      <w:r>
        <w:rPr>
          <w:rFonts w:ascii="宋体" w:eastAsia="宋体" w:hAnsi="宋体" w:cs="宋体"/>
          <w:b/>
          <w:bCs/>
          <w:sz w:val="24"/>
          <w:szCs w:val="24"/>
        </w:rPr>
        <w:lastRenderedPageBreak/>
        <w:t>三、公司股东数量及持股情况</w:t>
      </w:r>
      <w:bookmarkEnd w:id="97"/>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992"/>
        <w:gridCol w:w="851"/>
        <w:gridCol w:w="1057"/>
        <w:gridCol w:w="219"/>
        <w:gridCol w:w="850"/>
        <w:gridCol w:w="992"/>
        <w:gridCol w:w="567"/>
        <w:gridCol w:w="709"/>
        <w:gridCol w:w="709"/>
        <w:gridCol w:w="142"/>
        <w:gridCol w:w="141"/>
        <w:gridCol w:w="1026"/>
      </w:tblGrid>
      <w:tr w:rsidR="00037019" w:rsidTr="003D672D">
        <w:trPr>
          <w:trHeight w:val="240"/>
        </w:trPr>
        <w:tc>
          <w:tcPr>
            <w:tcW w:w="322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05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29,859</w:t>
            </w:r>
          </w:p>
        </w:tc>
        <w:tc>
          <w:tcPr>
            <w:tcW w:w="4329"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报告期末表决权恢复的优先股股东总数（如有）（参见注8）</w:t>
            </w:r>
          </w:p>
        </w:tc>
        <w:tc>
          <w:tcPr>
            <w:tcW w:w="102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持股5%以上的普通股股东或前10名普通股股东持股情况（不含通过转融通出借股份）</w:t>
            </w:r>
          </w:p>
        </w:tc>
      </w:tr>
      <w:tr w:rsidR="00037019" w:rsidTr="003D672D">
        <w:trPr>
          <w:trHeight w:val="240"/>
        </w:trPr>
        <w:tc>
          <w:tcPr>
            <w:tcW w:w="138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99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85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报告期末持有的普通股数量</w:t>
            </w:r>
          </w:p>
        </w:tc>
        <w:tc>
          <w:tcPr>
            <w:tcW w:w="85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报告期内增减变动情况</w:t>
            </w:r>
          </w:p>
        </w:tc>
        <w:tc>
          <w:tcPr>
            <w:tcW w:w="99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的普通股数量</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的普通股数量</w:t>
            </w:r>
          </w:p>
        </w:tc>
        <w:tc>
          <w:tcPr>
            <w:tcW w:w="201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037019" w:rsidTr="003D672D">
        <w:trPr>
          <w:trHeight w:val="240"/>
        </w:trPr>
        <w:tc>
          <w:tcPr>
            <w:tcW w:w="138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99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5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5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99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5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16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4.82%</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质押</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28,136,006</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-9,119,998</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28,136,006</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24,145,662</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-17,002,799</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24,145,662</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陆超祖</w:t>
            </w:r>
            <w:proofErr w:type="gramEnd"/>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17,558,000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4,720,372</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17,558,000</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杨三宝</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0.99%</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16,883,300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-10,116,700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16,883,300</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陆敏</w:t>
            </w:r>
            <w:proofErr w:type="gramEnd"/>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0.98%</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16,643,300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5,463,900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16,643,300</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中航</w:t>
            </w:r>
            <w:proofErr w:type="gramStart"/>
            <w:r>
              <w:rPr>
                <w:rFonts w:ascii="宋体" w:eastAsia="宋体" w:hAnsi="宋体" w:cs="宋体"/>
                <w:sz w:val="18"/>
                <w:szCs w:val="18"/>
              </w:rPr>
              <w:t>鑫</w:t>
            </w:r>
            <w:proofErr w:type="gramEnd"/>
            <w:r>
              <w:rPr>
                <w:rFonts w:ascii="宋体" w:eastAsia="宋体" w:hAnsi="宋体" w:cs="宋体"/>
                <w:sz w:val="18"/>
                <w:szCs w:val="18"/>
              </w:rPr>
              <w:t>港担保有限公司</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国有法人</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0.62%</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10,594,150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10,594,150</w:t>
            </w:r>
          </w:p>
        </w:tc>
        <w:tc>
          <w:tcPr>
            <w:tcW w:w="851"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战略投资者或一般法人因配售新股成为前10名普通股股东的情况（如有）（参见注3）</w:t>
            </w:r>
          </w:p>
        </w:tc>
        <w:tc>
          <w:tcPr>
            <w:tcW w:w="513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无</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513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上述股东中华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上述股东涉及委托/受托表决权、放弃表决权情况的说明</w:t>
            </w:r>
          </w:p>
        </w:tc>
        <w:tc>
          <w:tcPr>
            <w:tcW w:w="513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无</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前10名股东中存在回购专户的特别说明（如有）（参见注11）</w:t>
            </w:r>
          </w:p>
        </w:tc>
        <w:tc>
          <w:tcPr>
            <w:tcW w:w="513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公司本期报告前十名股东中含有回购专户，但根据披露要求不纳入前十名股东列示。截至6月30日，回购专户持股数量为95,478,485股，占比5.61%。</w:t>
            </w:r>
          </w:p>
        </w:tc>
      </w:tr>
      <w:tr w:rsidR="00037019">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普通股股东持股情况（不含通过转融通出借股份、高管锁定股）</w:t>
            </w:r>
          </w:p>
        </w:tc>
      </w:tr>
      <w:tr w:rsidR="00037019" w:rsidTr="003D672D">
        <w:trPr>
          <w:trHeight w:val="240"/>
        </w:trPr>
        <w:tc>
          <w:tcPr>
            <w:tcW w:w="4503"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股东名称</w:t>
            </w:r>
          </w:p>
        </w:tc>
        <w:tc>
          <w:tcPr>
            <w:tcW w:w="2409"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报告期末持有无限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普通股股份数量</w:t>
            </w:r>
          </w:p>
        </w:tc>
        <w:tc>
          <w:tcPr>
            <w:tcW w:w="2727"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r>
      <w:tr w:rsidR="00037019" w:rsidTr="003D672D">
        <w:trPr>
          <w:trHeight w:val="240"/>
        </w:trPr>
        <w:tc>
          <w:tcPr>
            <w:tcW w:w="4503"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09"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41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30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501,655,862</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81,973,588</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28,136,006</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28,136,006</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24,145,662</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24,145,662</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陆超祖</w:t>
            </w:r>
            <w:proofErr w:type="gramEnd"/>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17,558,000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17,558,000</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杨三宝</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16,883,300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16,883,300</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陆敏</w:t>
            </w:r>
            <w:proofErr w:type="gramEnd"/>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16,643,300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16,643,300</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中航</w:t>
            </w:r>
            <w:proofErr w:type="gramStart"/>
            <w:r>
              <w:rPr>
                <w:rFonts w:ascii="宋体" w:eastAsia="宋体" w:hAnsi="宋体" w:cs="宋体"/>
                <w:sz w:val="18"/>
                <w:szCs w:val="18"/>
              </w:rPr>
              <w:t>鑫</w:t>
            </w:r>
            <w:proofErr w:type="gramEnd"/>
            <w:r>
              <w:rPr>
                <w:rFonts w:ascii="宋体" w:eastAsia="宋体" w:hAnsi="宋体" w:cs="宋体"/>
                <w:sz w:val="18"/>
                <w:szCs w:val="18"/>
              </w:rPr>
              <w:t>港担保有限公司</w:t>
            </w:r>
          </w:p>
        </w:tc>
        <w:tc>
          <w:tcPr>
            <w:tcW w:w="24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10,594,150</w:t>
            </w:r>
          </w:p>
        </w:tc>
        <w:tc>
          <w:tcPr>
            <w:tcW w:w="1418" w:type="dxa"/>
            <w:gridSpan w:val="2"/>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09" w:type="dxa"/>
            <w:gridSpan w:val="3"/>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10,594,150</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普通股股东之间，以及前10名无限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普通股股东和前10名普通股股东之间关联关系或一致行动的说明</w:t>
            </w:r>
          </w:p>
        </w:tc>
        <w:tc>
          <w:tcPr>
            <w:tcW w:w="513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037019" w:rsidTr="003D672D">
        <w:trPr>
          <w:trHeight w:val="240"/>
        </w:trPr>
        <w:tc>
          <w:tcPr>
            <w:tcW w:w="4503"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前10名普通股股东参与融资融券业务情况说明（如有）（参见注4）</w:t>
            </w:r>
          </w:p>
        </w:tc>
        <w:tc>
          <w:tcPr>
            <w:tcW w:w="5136" w:type="dxa"/>
            <w:gridSpan w:val="8"/>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持股5%以上股东、前10名股东及前10名无限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股股东参与转融通业务出借股份情况</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前10名股东及前10名无限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股股东因转融通出借/归还原因导致较上期发生变化</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普通股股东在报告期内是否进行约定购回交易</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普通股股东在报告期内未进行约定购回交易。</w:t>
      </w:r>
    </w:p>
    <w:p w:rsidR="00037019" w:rsidRDefault="00BE788E">
      <w:pPr>
        <w:pStyle w:val="2"/>
        <w:spacing w:before="300" w:after="300" w:line="320" w:lineRule="exact"/>
        <w:rPr>
          <w:rFonts w:ascii="宋体" w:eastAsia="宋体" w:hAnsi="宋体" w:cs="宋体"/>
          <w:b/>
          <w:bCs/>
          <w:sz w:val="24"/>
          <w:szCs w:val="24"/>
        </w:rPr>
      </w:pPr>
      <w:bookmarkStart w:id="98" w:name="_Toc988987"/>
      <w:r>
        <w:rPr>
          <w:rFonts w:ascii="宋体" w:eastAsia="宋体" w:hAnsi="宋体" w:cs="宋体"/>
          <w:b/>
          <w:bCs/>
          <w:sz w:val="24"/>
          <w:szCs w:val="24"/>
        </w:rPr>
        <w:t>四、董事、监事和高级管理人员持股变动</w:t>
      </w:r>
      <w:bookmarkEnd w:id="9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公司董事、监事和高级管理人员在报告期持股情况没有发生变动，具体可参见2023年年报。</w:t>
      </w:r>
    </w:p>
    <w:p w:rsidR="00037019" w:rsidRDefault="00BE788E">
      <w:pPr>
        <w:pStyle w:val="2"/>
        <w:spacing w:before="300" w:after="300" w:line="320" w:lineRule="exact"/>
        <w:rPr>
          <w:rFonts w:ascii="宋体" w:eastAsia="宋体" w:hAnsi="宋体" w:cs="宋体"/>
          <w:b/>
          <w:bCs/>
          <w:sz w:val="24"/>
          <w:szCs w:val="24"/>
        </w:rPr>
      </w:pPr>
      <w:bookmarkStart w:id="99" w:name="_Toc988988"/>
      <w:r>
        <w:rPr>
          <w:rFonts w:ascii="宋体" w:eastAsia="宋体" w:hAnsi="宋体" w:cs="宋体"/>
          <w:b/>
          <w:bCs/>
          <w:sz w:val="24"/>
          <w:szCs w:val="24"/>
        </w:rPr>
        <w:t>五、控股股东或实际控制人变更情况</w:t>
      </w:r>
      <w:bookmarkEnd w:id="99"/>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控股股东报告期内变更</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公司报告期控股股东未发生变更。</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实际控制人报告期内变更</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公司报告期实际控制人未发生变更。</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100" w:name="_Toc988989"/>
      <w:r>
        <w:rPr>
          <w:rFonts w:ascii="宋体" w:eastAsia="宋体" w:hAnsi="宋体" w:cs="宋体"/>
          <w:b/>
          <w:bCs/>
          <w:sz w:val="32"/>
          <w:szCs w:val="32"/>
        </w:rPr>
        <w:lastRenderedPageBreak/>
        <w:t>第八节 优先股相关情况</w:t>
      </w:r>
      <w:bookmarkEnd w:id="100"/>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报告期公司不存在优先股。</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101" w:name="_Toc988990"/>
      <w:r>
        <w:rPr>
          <w:rFonts w:ascii="宋体" w:eastAsia="宋体" w:hAnsi="宋体" w:cs="宋体"/>
          <w:b/>
          <w:bCs/>
          <w:sz w:val="32"/>
          <w:szCs w:val="32"/>
        </w:rPr>
        <w:lastRenderedPageBreak/>
        <w:t>第九节 债券相关情况</w:t>
      </w:r>
      <w:bookmarkEnd w:id="10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r>
        <w:br w:type="page"/>
      </w:r>
    </w:p>
    <w:p w:rsidR="00037019" w:rsidRDefault="00BE788E">
      <w:pPr>
        <w:pStyle w:val="headingh1"/>
        <w:spacing w:before="340" w:after="330" w:line="773" w:lineRule="exact"/>
        <w:jc w:val="center"/>
        <w:rPr>
          <w:rFonts w:ascii="宋体" w:eastAsia="宋体" w:hAnsi="宋体" w:cs="宋体"/>
          <w:b/>
          <w:bCs/>
          <w:sz w:val="32"/>
          <w:szCs w:val="32"/>
        </w:rPr>
      </w:pPr>
      <w:bookmarkStart w:id="102" w:name="_Toc988991"/>
      <w:r>
        <w:rPr>
          <w:rFonts w:ascii="宋体" w:eastAsia="宋体" w:hAnsi="宋体" w:cs="宋体"/>
          <w:b/>
          <w:bCs/>
          <w:sz w:val="32"/>
          <w:szCs w:val="32"/>
        </w:rPr>
        <w:lastRenderedPageBreak/>
        <w:t>第十节 财务报告</w:t>
      </w:r>
      <w:bookmarkEnd w:id="102"/>
    </w:p>
    <w:p w:rsidR="00037019" w:rsidRDefault="00BE788E">
      <w:pPr>
        <w:pStyle w:val="2"/>
        <w:spacing w:before="300" w:after="300" w:line="320" w:lineRule="exact"/>
        <w:rPr>
          <w:rFonts w:ascii="宋体" w:eastAsia="宋体" w:hAnsi="宋体" w:cs="宋体"/>
          <w:b/>
          <w:bCs/>
          <w:sz w:val="24"/>
          <w:szCs w:val="24"/>
        </w:rPr>
      </w:pPr>
      <w:bookmarkStart w:id="103" w:name="_Toc988992"/>
      <w:r>
        <w:rPr>
          <w:rFonts w:ascii="宋体" w:eastAsia="宋体" w:hAnsi="宋体" w:cs="宋体"/>
          <w:b/>
          <w:bCs/>
          <w:sz w:val="24"/>
          <w:szCs w:val="24"/>
        </w:rPr>
        <w:t>一、审计报告</w:t>
      </w:r>
      <w:bookmarkEnd w:id="10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半年度报告是否经过审计</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公司半年度财务报告未经审计。</w:t>
      </w:r>
    </w:p>
    <w:p w:rsidR="00037019" w:rsidRDefault="00BE788E">
      <w:pPr>
        <w:pStyle w:val="2"/>
        <w:spacing w:before="300" w:after="300" w:line="320" w:lineRule="exact"/>
        <w:rPr>
          <w:rFonts w:ascii="宋体" w:eastAsia="宋体" w:hAnsi="宋体" w:cs="宋体"/>
          <w:b/>
          <w:bCs/>
          <w:sz w:val="24"/>
          <w:szCs w:val="24"/>
        </w:rPr>
      </w:pPr>
      <w:bookmarkStart w:id="104" w:name="_Toc988993"/>
      <w:r>
        <w:rPr>
          <w:rFonts w:ascii="宋体" w:eastAsia="宋体" w:hAnsi="宋体" w:cs="宋体"/>
          <w:b/>
          <w:bCs/>
          <w:sz w:val="24"/>
          <w:szCs w:val="24"/>
        </w:rPr>
        <w:t>二、财务报表</w:t>
      </w:r>
      <w:bookmarkEnd w:id="104"/>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财务附注中报表的单位为：元</w:t>
      </w:r>
    </w:p>
    <w:p w:rsidR="00037019" w:rsidRDefault="00BE788E">
      <w:pPr>
        <w:pStyle w:val="3"/>
        <w:spacing w:line="280" w:lineRule="exact"/>
        <w:jc w:val="left"/>
        <w:rPr>
          <w:rFonts w:ascii="宋体" w:hAnsi="宋体" w:cs="宋体"/>
          <w:b/>
          <w:bCs/>
        </w:rPr>
      </w:pPr>
      <w:bookmarkStart w:id="105" w:name="_Toc988994"/>
      <w:r>
        <w:rPr>
          <w:rFonts w:ascii="宋体" w:hAnsi="宋体" w:cs="宋体"/>
          <w:b/>
          <w:bCs/>
        </w:rPr>
        <w:t>1、合并资产负债表</w:t>
      </w:r>
      <w:bookmarkEnd w:id="105"/>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2024年06月30日</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3,756,552,002.18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2,636,623,050.27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1,305,080,779.48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613,362,244.00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3,703,758,541.86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5,007,466,587.13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2,934,612.50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2,931,142.48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144,853,044.31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125,091,080.55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10,473,418,002.08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9,910,283,069.91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79,305,051.49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77,716,692.81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4,584,909,993.97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4,675,835,696.14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22,833,457.37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834,347,185.76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14,015,162.13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18,209,091.31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186,483,548.97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30,517,989.62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213,610,511.50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7,104,109,191.54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7,130,989,952.93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17,577,527,193.62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17,041,273,022.84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8,095,382,059.78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7,083,948,407.58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127,598,025.01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675,479,076.09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924,554,728.71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9,909,164.85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7,293,483.28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57,357,124.56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69,900,895.46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35,375,241.34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82,862,010.47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lastRenderedPageBreak/>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414,019,233.11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415,830,327.16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46,295,090.51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10,080,219,102.06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9,556,760,040.56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850,041,412.46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726,461,232.31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18,049,357.94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15,991,096.53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18,621,574.29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1,165,421,993.06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1,035,997,886.82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11,245,641,095.12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10,592,757,927.38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-163,145,290.24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-96,153,506.00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1,719,096,713.91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6,034,345,262.35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6,156,565,539.90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297,540,836.15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291,949,555.56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6,331,886,098.50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17,577,527,193.62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17,041,273,022.84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3D672D">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3D672D">
        <w:rPr>
          <w:rFonts w:ascii="宋体" w:eastAsia="宋体" w:hAnsi="宋体" w:cs="宋体" w:hint="eastAsia"/>
          <w:sz w:val="18"/>
          <w:szCs w:val="18"/>
        </w:rPr>
        <w:t xml:space="preserve">            </w:t>
      </w:r>
      <w:r>
        <w:rPr>
          <w:rFonts w:ascii="宋体" w:eastAsia="宋体" w:hAnsi="宋体" w:cs="宋体"/>
          <w:sz w:val="18"/>
          <w:szCs w:val="18"/>
        </w:rPr>
        <w:t>会计机构负责人：王国友</w:t>
      </w:r>
    </w:p>
    <w:p w:rsidR="00037019" w:rsidRDefault="00BE788E">
      <w:pPr>
        <w:pStyle w:val="3"/>
        <w:spacing w:line="320" w:lineRule="exact"/>
        <w:jc w:val="left"/>
        <w:rPr>
          <w:rFonts w:ascii="宋体" w:hAnsi="宋体" w:cs="宋体"/>
          <w:b/>
          <w:bCs/>
          <w:sz w:val="24"/>
          <w:szCs w:val="24"/>
        </w:rPr>
      </w:pPr>
      <w:bookmarkStart w:id="106" w:name="_Toc988995"/>
      <w:r>
        <w:rPr>
          <w:rFonts w:ascii="宋体" w:hAnsi="宋体" w:cs="宋体"/>
          <w:b/>
          <w:bCs/>
          <w:sz w:val="24"/>
          <w:szCs w:val="24"/>
        </w:rPr>
        <w:t>2、母公司资产负债表</w:t>
      </w:r>
      <w:bookmarkEnd w:id="10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238,255,302.38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37,699,521.00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39,749,224.26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39,676,997.22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27,430.00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7,551,910.14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4,265,303.71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11,756,379.44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1,089,255,743.52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756,170,998.13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262,364,057.68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137,345,422.48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38,096,273.93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32,544,715.77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1,791,597,386.49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1,139,455,371.90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55,843,105.59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54,754,746.91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38,437,951.98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39,320,455.98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724,311,797.23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753,466,009.50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203,883,466.96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206,247,224.26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其中：数据资源</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3,840,407.37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7,330,439.55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9,899,873.31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8,381,013.51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24,972,677.05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4,462,235.46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5,311,254,705.88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5,341,999,114.90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7,102,852,092.37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6,481,454,486.80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30,033,916.67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683,700,000.00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321,186,913.44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492,131,086.18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200,983,677.18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109,349,864.03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6,437,802.92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5,583,412.55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5,429,825.24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2,094,268.94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24,572,062.38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46,399,587.48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182,890.72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1,242,310,281.16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685,775,026.57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418,308,625.31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306,896,837.81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8,848,470.67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9,095,946.67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2,634,446.34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2,471,192.54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429,791,542.32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318,463,977.02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1,672,101,823.48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1,004,239,003.59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14,928,529.25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14,003,424.37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600,441,535.14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547,798,739.86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5,430,750,268.89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7,102,852,092.37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6,481,454,486.80</w:t>
            </w:r>
          </w:p>
        </w:tc>
      </w:tr>
    </w:tbl>
    <w:p w:rsidR="00037019" w:rsidRDefault="00BE788E">
      <w:pPr>
        <w:pStyle w:val="3"/>
        <w:spacing w:line="280" w:lineRule="exact"/>
        <w:jc w:val="left"/>
        <w:rPr>
          <w:rFonts w:ascii="宋体" w:hAnsi="宋体" w:cs="宋体"/>
          <w:b/>
          <w:bCs/>
        </w:rPr>
      </w:pPr>
      <w:bookmarkStart w:id="107" w:name="_Toc988996"/>
      <w:r>
        <w:rPr>
          <w:rFonts w:ascii="宋体" w:hAnsi="宋体" w:cs="宋体"/>
          <w:b/>
          <w:bCs/>
        </w:rPr>
        <w:t>3、合并利润表</w:t>
      </w:r>
      <w:bookmarkEnd w:id="10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6,526,556,917.66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7,734,294,576.04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7,335,998,463.15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40,234,045.22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42,943,545.86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52,789,991.86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69,697,200.52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156,860,189.02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181,512,594.41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56,859,805.33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55,547,119.18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101,914,282.91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48,595,652.92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88,505,950.88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115,951,528.29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8,464,181.30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13,105,439.74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-62,478,441.82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3,057,845.75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62,881.23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23,531,629.26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163,412.51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67,854,234.81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65,100,352.59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3,538,699.54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2,263,481.62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66,761,294.16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66,375,570.51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-5,914,623.64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55,234,120.06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72,290,194.15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55,234,120.06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72,290,194.15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10,429,498.89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-9,112,653.63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21,222,193.25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21,222,193.25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-11,757,664.18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94,654,109.83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-22,187,163.07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103,766,763.46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10,429,498.89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-9,112,653.63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法定代表人：孙伟挺    主管会计工作负责人：陈玲芬    会计机构负责人：王国友</w:t>
      </w:r>
    </w:p>
    <w:p w:rsidR="00037019" w:rsidRDefault="00BE788E">
      <w:pPr>
        <w:pStyle w:val="3"/>
        <w:spacing w:line="280" w:lineRule="exact"/>
        <w:jc w:val="left"/>
        <w:rPr>
          <w:rFonts w:ascii="宋体" w:hAnsi="宋体" w:cs="宋体"/>
          <w:b/>
          <w:bCs/>
        </w:rPr>
      </w:pPr>
      <w:bookmarkStart w:id="108" w:name="_Toc988997"/>
      <w:r>
        <w:rPr>
          <w:rFonts w:ascii="宋体" w:hAnsi="宋体" w:cs="宋体"/>
          <w:b/>
          <w:bCs/>
        </w:rPr>
        <w:lastRenderedPageBreak/>
        <w:t>4、母公司利润表</w:t>
      </w:r>
      <w:bookmarkEnd w:id="10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610,952,982.54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480,422,738.95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5,406,256.19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4,243,930.38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1,673,722.91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239,581.05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12,007,196.87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13,738,991.88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21,862,656.28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19,521,495.48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9,371,009.27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6,026,299.53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5,263,710.45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6,601,502.32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-1,036,781.23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365,890.36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2,913,461.69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3,095,587.30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840,863.69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134,793,790.09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82,227.04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-18,123,719.35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394,675.29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-467,801.24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6,011,466.57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-25,931.21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51,692,857.61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212,069,268.64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2,679.42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43,140.14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571,601.55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51,123,935.48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212,097,407.80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-1,518,859.80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-2,463,594.56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214,561,002.36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214,561,002.36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w:t>
            </w:r>
            <w:r>
              <w:rPr>
                <w:rFonts w:ascii="宋体" w:eastAsia="宋体" w:hAnsi="宋体" w:cs="宋体"/>
                <w:sz w:val="18"/>
                <w:szCs w:val="18"/>
              </w:rPr>
              <w:lastRenderedPageBreak/>
              <w:t>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53,567,900.16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215,702,724.79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pStyle w:val="3"/>
        <w:spacing w:line="280" w:lineRule="exact"/>
        <w:jc w:val="left"/>
        <w:rPr>
          <w:rFonts w:ascii="宋体" w:hAnsi="宋体" w:cs="宋体"/>
          <w:b/>
          <w:bCs/>
        </w:rPr>
      </w:pPr>
      <w:bookmarkStart w:id="109" w:name="_Toc988998"/>
      <w:r>
        <w:rPr>
          <w:rFonts w:ascii="宋体" w:hAnsi="宋体" w:cs="宋体"/>
          <w:b/>
          <w:bCs/>
        </w:rPr>
        <w:t>5、合并现金流量表</w:t>
      </w:r>
      <w:bookmarkEnd w:id="10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7,433,540,349.56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7,158,635,091.85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8,417,045.56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15,913,783.54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561,046,643.88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531,898,079.79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8,003,004,039.00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7,706,446,955.18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5,655,063,802.73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5,002,770,829.25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401,139,783.32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403,966,231.37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190,636,894.26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179,327,704.60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662,991,344.06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595,660,630.84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6,909,831,824.37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6,181,725,396.06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1,093,172,214.63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1,524,721,559.12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345,957,416.88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57,920,200.00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20,263,620.99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52,251,517.41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6,333,987.02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21,902,479.12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2,601,000.00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77,350,000.00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827,984,314.21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375,156,024.89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1,037,408,510.74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352,319,925.52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183,764,050.22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340,729,630.86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562,100,036.98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693,549,556.38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793,329,087.20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-318,393,531.49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244,079,423.54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5,988,280,421.01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5,901,274,619.72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19,918,769.82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166,977,948.39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6,008,199,190.83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6,068,252,568.11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5,458,843,788.25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5,796,675,905.22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91,931,370.83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120,539,176.99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1,809,510,292.02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1,519,402,260.31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7,360,285,451.10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7,436,617,342.52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-1,352,086,260.27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-1,368,364,774.41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8,296,609.75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-7,266,244.95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-569,010,967.38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393,169,963.30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2,234,988,516.88</w:t>
            </w:r>
          </w:p>
        </w:tc>
      </w:tr>
    </w:tbl>
    <w:p w:rsidR="00037019" w:rsidRDefault="00BE788E">
      <w:pPr>
        <w:pStyle w:val="3"/>
        <w:spacing w:line="280" w:lineRule="exact"/>
        <w:jc w:val="left"/>
        <w:rPr>
          <w:rFonts w:ascii="宋体" w:hAnsi="宋体" w:cs="宋体"/>
          <w:b/>
          <w:bCs/>
        </w:rPr>
      </w:pPr>
      <w:bookmarkStart w:id="110" w:name="_Toc988999"/>
      <w:r>
        <w:rPr>
          <w:rFonts w:ascii="宋体" w:hAnsi="宋体" w:cs="宋体"/>
          <w:b/>
          <w:bCs/>
        </w:rPr>
        <w:t>6、母公司现金流量表</w:t>
      </w:r>
      <w:bookmarkEnd w:id="110"/>
    </w:p>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2024年半年度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694,364,931.68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506,893,247.16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38,027,016.40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65,653,421.14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732,391,948.08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572,546,668.30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368,403,618.31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796,184,911.06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35,608,674.47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49,368,115.62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30,608,916.00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11,722,670.71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58,038,629.78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31,215,319.49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492,659,838.56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888,491,016.88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239,732,109.52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-315,944,348.58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1,880,275.87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45,385,000.00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4,868.14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118,000,000.00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1,885,144.01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163,385,000.00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103,930,415.50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112,648,798.20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103,930,415.50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112,648,798.20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-102,045,271.49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50,736,201.80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111,316,182.95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111,316,182.95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8,727,886.74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5,728,250.01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209,727,671.77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248,455,558.51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158,824,983.45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-137,139,375.56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171,175,016.55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8,318.91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42,191.10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555,781.38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-93,990,939.13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35,219,200.57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136,786,651.88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35,774,981.95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42,795,712.75</w:t>
            </w:r>
          </w:p>
        </w:tc>
      </w:tr>
    </w:tbl>
    <w:p w:rsidR="00037019" w:rsidRDefault="00BE788E">
      <w:pPr>
        <w:pStyle w:val="3"/>
        <w:spacing w:line="280" w:lineRule="exact"/>
        <w:jc w:val="left"/>
        <w:rPr>
          <w:rFonts w:ascii="宋体" w:hAnsi="宋体" w:cs="宋体"/>
          <w:b/>
          <w:bCs/>
        </w:rPr>
      </w:pPr>
      <w:bookmarkStart w:id="111" w:name="_Toc989000"/>
      <w:r>
        <w:rPr>
          <w:rFonts w:ascii="宋体" w:hAnsi="宋体" w:cs="宋体"/>
          <w:b/>
          <w:bCs/>
        </w:rPr>
        <w:t>7、合并所有者权益变动表</w:t>
      </w:r>
      <w:bookmarkEnd w:id="11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562"/>
        <w:gridCol w:w="562"/>
        <w:gridCol w:w="562"/>
        <w:gridCol w:w="562"/>
        <w:gridCol w:w="563"/>
        <w:gridCol w:w="563"/>
        <w:gridCol w:w="563"/>
        <w:gridCol w:w="563"/>
        <w:gridCol w:w="563"/>
        <w:gridCol w:w="563"/>
        <w:gridCol w:w="563"/>
        <w:gridCol w:w="563"/>
        <w:gridCol w:w="563"/>
        <w:gridCol w:w="563"/>
        <w:gridCol w:w="563"/>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0" w:lineRule="atLeas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w:t>
            </w:r>
            <w:r>
              <w:rPr>
                <w:rFonts w:ascii="宋体" w:eastAsia="宋体" w:hAnsi="宋体" w:cs="宋体"/>
                <w:sz w:val="18"/>
                <w:szCs w:val="18"/>
              </w:rPr>
              <w:lastRenderedPageBreak/>
              <w:t>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w:t>
            </w:r>
            <w:r>
              <w:rPr>
                <w:rFonts w:ascii="宋体" w:eastAsia="宋体" w:hAnsi="宋体" w:cs="宋体"/>
                <w:sz w:val="18"/>
                <w:szCs w:val="18"/>
              </w:rPr>
              <w:lastRenderedPageBreak/>
              <w:t>3.80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200,071,093.</w:t>
            </w:r>
            <w:r>
              <w:rPr>
                <w:rFonts w:ascii="宋体" w:eastAsia="宋体" w:hAnsi="宋体" w:cs="宋体"/>
                <w:sz w:val="18"/>
                <w:szCs w:val="18"/>
              </w:rPr>
              <w:lastRenderedPageBreak/>
              <w:t>36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-96,153,50</w:t>
            </w:r>
            <w:r>
              <w:rPr>
                <w:rFonts w:ascii="宋体" w:eastAsia="宋体" w:hAnsi="宋体" w:cs="宋体"/>
                <w:sz w:val="18"/>
                <w:szCs w:val="18"/>
              </w:rPr>
              <w:lastRenderedPageBreak/>
              <w:t>6.00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w:t>
            </w:r>
            <w:r>
              <w:rPr>
                <w:rFonts w:ascii="宋体" w:eastAsia="宋体" w:hAnsi="宋体" w:cs="宋体"/>
                <w:sz w:val="18"/>
                <w:szCs w:val="18"/>
              </w:rPr>
              <w:lastRenderedPageBreak/>
              <w:t>72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w:t>
            </w:r>
            <w:r>
              <w:rPr>
                <w:rFonts w:ascii="宋体" w:eastAsia="宋体" w:hAnsi="宋体" w:cs="宋体"/>
                <w:sz w:val="18"/>
                <w:szCs w:val="18"/>
              </w:rPr>
              <w:lastRenderedPageBreak/>
              <w:t>2.74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w:t>
            </w:r>
            <w:r>
              <w:rPr>
                <w:rFonts w:ascii="宋体" w:eastAsia="宋体" w:hAnsi="宋体" w:cs="宋体"/>
                <w:sz w:val="18"/>
                <w:szCs w:val="18"/>
              </w:rPr>
              <w:lastRenderedPageBreak/>
              <w:t>9.90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291,949,555.</w:t>
            </w:r>
            <w:r>
              <w:rPr>
                <w:rFonts w:ascii="宋体" w:eastAsia="宋体" w:hAnsi="宋体" w:cs="宋体"/>
                <w:sz w:val="18"/>
                <w:szCs w:val="18"/>
              </w:rPr>
              <w:lastRenderedPageBreak/>
              <w:t>56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6,448,515,09</w:t>
            </w:r>
            <w:r>
              <w:rPr>
                <w:rFonts w:ascii="宋体" w:eastAsia="宋体" w:hAnsi="宋体" w:cs="宋体"/>
                <w:sz w:val="18"/>
                <w:szCs w:val="18"/>
              </w:rPr>
              <w:lastRenderedPageBreak/>
              <w:t>5.46</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291,949,555.56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-122,220,277.55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5,591,280.59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-116,628,996.96</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-22,187,163.07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10,429,498.89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-11,757,664.18</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-4,838,218.30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-104,871,332.78</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-4,838,218.30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-104,871,332.78</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3．对所有者（或股东）的分配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-163,145,290.24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1,719,096,713.91</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6,034,345,262.35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297,540,836.15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6,331,886,098.50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8"/>
        <w:gridCol w:w="562"/>
        <w:gridCol w:w="562"/>
        <w:gridCol w:w="562"/>
        <w:gridCol w:w="562"/>
        <w:gridCol w:w="563"/>
        <w:gridCol w:w="563"/>
        <w:gridCol w:w="563"/>
        <w:gridCol w:w="563"/>
        <w:gridCol w:w="563"/>
        <w:gridCol w:w="563"/>
        <w:gridCol w:w="563"/>
        <w:gridCol w:w="563"/>
        <w:gridCol w:w="563"/>
        <w:gridCol w:w="563"/>
        <w:gridCol w:w="563"/>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314"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少数股东权益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68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专项储备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56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56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w:t>
            </w:r>
            <w:r>
              <w:rPr>
                <w:rFonts w:ascii="宋体" w:eastAsia="宋体" w:hAnsi="宋体" w:cs="宋体"/>
                <w:sz w:val="18"/>
                <w:szCs w:val="18"/>
              </w:rPr>
              <w:lastRenderedPageBreak/>
              <w:t>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2,740,826,58</w:t>
            </w:r>
            <w:r>
              <w:rPr>
                <w:rFonts w:ascii="宋体" w:eastAsia="宋体" w:hAnsi="宋体" w:cs="宋体"/>
                <w:sz w:val="18"/>
                <w:szCs w:val="18"/>
              </w:rPr>
              <w:lastRenderedPageBreak/>
              <w:t>3.55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46,974,359.9</w:t>
            </w:r>
            <w:r>
              <w:rPr>
                <w:rFonts w:ascii="宋体" w:eastAsia="宋体" w:hAnsi="宋体" w:cs="宋体"/>
                <w:sz w:val="18"/>
                <w:szCs w:val="18"/>
              </w:rPr>
              <w:lastRenderedPageBreak/>
              <w:t>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-48,175,53</w:t>
            </w:r>
            <w:r>
              <w:rPr>
                <w:rFonts w:ascii="宋体" w:eastAsia="宋体" w:hAnsi="宋体" w:cs="宋体"/>
                <w:sz w:val="18"/>
                <w:szCs w:val="18"/>
              </w:rPr>
              <w:lastRenderedPageBreak/>
              <w:t>6.34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302,737,887.</w:t>
            </w:r>
            <w:r>
              <w:rPr>
                <w:rFonts w:ascii="宋体" w:eastAsia="宋体" w:hAnsi="宋体" w:cs="宋体"/>
                <w:sz w:val="18"/>
                <w:szCs w:val="18"/>
              </w:rPr>
              <w:lastRenderedPageBreak/>
              <w:t>79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1,643,586,80</w:t>
            </w:r>
            <w:r>
              <w:rPr>
                <w:rFonts w:ascii="宋体" w:eastAsia="宋体" w:hAnsi="宋体" w:cs="宋体"/>
                <w:sz w:val="18"/>
                <w:szCs w:val="18"/>
              </w:rPr>
              <w:lastRenderedPageBreak/>
              <w:t>0.21</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6,292,682,73</w:t>
            </w:r>
            <w:r>
              <w:rPr>
                <w:rFonts w:ascii="宋体" w:eastAsia="宋体" w:hAnsi="宋体" w:cs="宋体"/>
                <w:sz w:val="18"/>
                <w:szCs w:val="18"/>
              </w:rPr>
              <w:lastRenderedPageBreak/>
              <w:t>0.29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485,981,399.</w:t>
            </w:r>
            <w:r>
              <w:rPr>
                <w:rFonts w:ascii="宋体" w:eastAsia="宋体" w:hAnsi="宋体" w:cs="宋体"/>
                <w:sz w:val="18"/>
                <w:szCs w:val="18"/>
              </w:rPr>
              <w:lastRenderedPageBreak/>
              <w:t>13</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6,778,664,12</w:t>
            </w:r>
            <w:r>
              <w:rPr>
                <w:rFonts w:ascii="宋体" w:eastAsia="宋体" w:hAnsi="宋体" w:cs="宋体"/>
                <w:sz w:val="18"/>
                <w:szCs w:val="18"/>
              </w:rPr>
              <w:lastRenderedPageBreak/>
              <w:t>9.42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加：会计政策变更</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2,740,826,583.55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-70,446,037.14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-31,709,211.67</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-102,155,248.81</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22,363,915.68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103,766,763.46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-9,112,653.63</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94,654,109.83</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-21,116,067.16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-174,212,800.60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-17,164,804.15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-191,377,604.75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2．提取一般风险准备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-5,431,753.89</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-25,811,620.66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1,724,989,647.99</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454,272,187.46</w:t>
            </w:r>
          </w:p>
        </w:tc>
        <w:tc>
          <w:tcPr>
            <w:tcW w:w="56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6,676,508,880.61</w:t>
            </w:r>
          </w:p>
        </w:tc>
      </w:tr>
    </w:tbl>
    <w:p w:rsidR="00037019" w:rsidRDefault="00BE788E">
      <w:pPr>
        <w:pStyle w:val="3"/>
        <w:spacing w:line="280" w:lineRule="exact"/>
        <w:jc w:val="left"/>
        <w:rPr>
          <w:rFonts w:ascii="宋体" w:hAnsi="宋体" w:cs="宋体"/>
          <w:b/>
          <w:bCs/>
        </w:rPr>
      </w:pPr>
      <w:bookmarkStart w:id="112" w:name="_Toc989001"/>
      <w:r>
        <w:rPr>
          <w:rFonts w:ascii="宋体" w:hAnsi="宋体" w:cs="宋体"/>
          <w:b/>
          <w:bCs/>
        </w:rPr>
        <w:t>8、母公司所有者权益变动表</w:t>
      </w:r>
      <w:bookmarkEnd w:id="11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0"/>
        <w:gridCol w:w="703"/>
        <w:gridCol w:w="703"/>
        <w:gridCol w:w="703"/>
        <w:gridCol w:w="704"/>
        <w:gridCol w:w="703"/>
        <w:gridCol w:w="703"/>
        <w:gridCol w:w="703"/>
        <w:gridCol w:w="703"/>
        <w:gridCol w:w="703"/>
        <w:gridCol w:w="703"/>
        <w:gridCol w:w="703"/>
        <w:gridCol w:w="705"/>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2024年半年度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-46,465,214.32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52,642,795.28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-46,465,214.32</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w:t>
            </w:r>
            <w:r>
              <w:rPr>
                <w:rFonts w:ascii="宋体" w:eastAsia="宋体" w:hAnsi="宋体" w:cs="宋体"/>
                <w:sz w:val="18"/>
                <w:szCs w:val="18"/>
              </w:rPr>
              <w:lastRenderedPageBreak/>
              <w:t>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3．盈余公积弥补亏损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14,928,529.25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600,441,535.14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5,430,750,268.89</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上年金额</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0"/>
        <w:gridCol w:w="703"/>
        <w:gridCol w:w="703"/>
        <w:gridCol w:w="703"/>
        <w:gridCol w:w="704"/>
        <w:gridCol w:w="703"/>
        <w:gridCol w:w="703"/>
        <w:gridCol w:w="703"/>
        <w:gridCol w:w="703"/>
        <w:gridCol w:w="703"/>
        <w:gridCol w:w="703"/>
        <w:gridCol w:w="703"/>
        <w:gridCol w:w="705"/>
      </w:tblGrid>
      <w:tr w:rsidR="00037019">
        <w:trPr>
          <w:trHeight w:val="240"/>
        </w:trPr>
        <w:tc>
          <w:tcPr>
            <w:tcW w:w="120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4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2023年半年度</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110"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37019">
        <w:trPr>
          <w:trHeight w:val="240"/>
        </w:trPr>
        <w:tc>
          <w:tcPr>
            <w:tcW w:w="120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70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1,141,722.43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214,561,002.36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62,605,991.35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（一）综合</w:t>
            </w:r>
            <w:r>
              <w:rPr>
                <w:rFonts w:ascii="宋体" w:eastAsia="宋体" w:hAnsi="宋体" w:cs="宋体"/>
                <w:sz w:val="18"/>
                <w:szCs w:val="18"/>
              </w:rPr>
              <w:lastRenderedPageBreak/>
              <w:t>收益总额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w:t>
            </w:r>
            <w:r>
              <w:rPr>
                <w:rFonts w:ascii="宋体" w:eastAsia="宋体" w:hAnsi="宋体" w:cs="宋体"/>
                <w:sz w:val="18"/>
                <w:szCs w:val="18"/>
              </w:rPr>
              <w:lastRenderedPageBreak/>
              <w:t>96,733.44</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1,141</w:t>
            </w:r>
            <w:r>
              <w:rPr>
                <w:rFonts w:ascii="宋体" w:eastAsia="宋体" w:hAnsi="宋体" w:cs="宋体"/>
                <w:sz w:val="18"/>
                <w:szCs w:val="18"/>
              </w:rPr>
              <w:lastRenderedPageBreak/>
              <w:t>,722.43</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w:t>
            </w:r>
            <w:r>
              <w:rPr>
                <w:rFonts w:ascii="宋体" w:eastAsia="宋体" w:hAnsi="宋体" w:cs="宋体"/>
                <w:sz w:val="18"/>
                <w:szCs w:val="18"/>
              </w:rPr>
              <w:lastRenderedPageBreak/>
              <w:t>61,002.36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w:t>
            </w:r>
            <w:r>
              <w:rPr>
                <w:rFonts w:ascii="宋体" w:eastAsia="宋体" w:hAnsi="宋体" w:cs="宋体"/>
                <w:sz w:val="18"/>
                <w:szCs w:val="18"/>
              </w:rPr>
              <w:lastRenderedPageBreak/>
              <w:t>5,991.35</w:t>
            </w: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（二）所有者投入和减少资本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20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四、本期期末余额</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16,610,961.28</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431,791,092.89</w:t>
            </w: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5,327,085,523.22</w:t>
            </w:r>
          </w:p>
        </w:tc>
      </w:tr>
    </w:tbl>
    <w:p w:rsidR="00037019" w:rsidRDefault="00BE788E">
      <w:pPr>
        <w:pStyle w:val="2"/>
        <w:spacing w:before="300" w:after="300" w:line="320" w:lineRule="exact"/>
        <w:rPr>
          <w:rFonts w:ascii="宋体" w:eastAsia="宋体" w:hAnsi="宋体" w:cs="宋体"/>
          <w:b/>
          <w:bCs/>
          <w:sz w:val="24"/>
          <w:szCs w:val="24"/>
        </w:rPr>
      </w:pPr>
      <w:bookmarkStart w:id="113" w:name="_Toc989002"/>
      <w:r>
        <w:rPr>
          <w:rFonts w:ascii="宋体" w:eastAsia="宋体" w:hAnsi="宋体" w:cs="宋体"/>
          <w:b/>
          <w:bCs/>
          <w:sz w:val="24"/>
          <w:szCs w:val="24"/>
        </w:rPr>
        <w:t>三、公司基本情况</w:t>
      </w:r>
      <w:bookmarkEnd w:id="113"/>
    </w:p>
    <w:p w:rsidR="00BE788E" w:rsidRPr="00AC0334" w:rsidRDefault="00BE788E" w:rsidP="00AC0334">
      <w:pPr>
        <w:pStyle w:val="a3"/>
        <w:spacing w:before="0" w:beforeAutospacing="0" w:after="0" w:afterAutospacing="0"/>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公司注册地、组织形式和总部地址</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华孚时尚股份有限公司（以下简称“公司”或“本公司”）前身系于2000年10月经安徽省体改委【皖体改函[2000]79号】、安徽省人民政府【皖府股字[2000]第37号】文批准，由安徽飞亚纺织集团有限公司(以下简称“飞亚集团”)作为主发起人，联合上海东华大学科技园发展有限公司、淮北印染集团公司、上海市纺织科学研究院、安徽省国有资产运营有限公司、淮北市国有资产运营有限公司等五家企业共同发起，采用募集方式设立的股份有限公司。并于2000 年10 月31 日在安徽省工商行政管理局登记注册，注册资本为6,000.00万元。根据本公司2003 年第一次临时股东大会决议，并经中国证券监督管理委员会证</w:t>
      </w:r>
      <w:proofErr w:type="gramStart"/>
      <w:r w:rsidRPr="00AC0334">
        <w:rPr>
          <w:rFonts w:asciiTheme="minorEastAsia" w:eastAsiaTheme="minorEastAsia" w:hAnsiTheme="minorEastAsia" w:hint="eastAsia"/>
          <w:sz w:val="18"/>
          <w:szCs w:val="18"/>
        </w:rPr>
        <w:t>监发行字</w:t>
      </w:r>
      <w:proofErr w:type="gramEnd"/>
      <w:r w:rsidRPr="00AC0334">
        <w:rPr>
          <w:rFonts w:asciiTheme="minorEastAsia" w:eastAsiaTheme="minorEastAsia" w:hAnsiTheme="minorEastAsia" w:hint="eastAsia"/>
          <w:sz w:val="18"/>
          <w:szCs w:val="18"/>
        </w:rPr>
        <w:t>[2005]9号文核准，本公司于2005 年4 月向社会公众公开发行股票4,000万股，2005年4 月27日在深圳证券交易所挂牌上市。</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2008年1月22日淮北市人民政府国有资产监督管理委员会与华孚控股有限公司(以下简称“华孚控股”)</w:t>
      </w:r>
      <w:proofErr w:type="gramStart"/>
      <w:r w:rsidRPr="00AC0334">
        <w:rPr>
          <w:rFonts w:asciiTheme="minorEastAsia" w:eastAsiaTheme="minorEastAsia" w:hAnsiTheme="minorEastAsia" w:hint="eastAsia"/>
          <w:sz w:val="18"/>
          <w:szCs w:val="18"/>
        </w:rPr>
        <w:t>签定</w:t>
      </w:r>
      <w:proofErr w:type="gramEnd"/>
      <w:r w:rsidRPr="00AC0334">
        <w:rPr>
          <w:rFonts w:asciiTheme="minorEastAsia" w:eastAsiaTheme="minorEastAsia" w:hAnsiTheme="minorEastAsia" w:hint="eastAsia"/>
          <w:sz w:val="18"/>
          <w:szCs w:val="18"/>
        </w:rPr>
        <w:t>《产权交易合同》，华孚控股拟收购淮北市人民政府国有资产监督管理委员会持有的飞亚集团100%的股权，飞亚集团持有本公司40.55%的股权。</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上述转让经2008年4月6日国务院国有资产监督管理委员会国资产权［2008］357号《关于安徽飞亚纺织发展股份有限公司间接转让涉及的国有股东性质变更有关问题的批复》以及2008年6月27日中国证券监督管理委员会证监许可［2008］849号《关于核准华孚控股有限公司公告安徽飞亚纺织发展股份有限公司收购报告书的批复》批准。2008年12月10日完成工商变更登记手续，飞亚集团变更为华孚控股全资子公司。</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月30日，飞亚集团分别与受让方廖煜、赵伟光和陈敏签署了股权转让协议。飞亚集团以协议转让方式分别向廖煜、赵伟光和陈敏转让499万股本公司股权，合计转让1,497万股权，占本公司总股本的14.97%。飞亚集团减持后持有本公司2,557.91万股，占总股本的25.58%，该转让于2008年12月3日完成股权过户手续。</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公司2008年5月15日与华孚控股、深圳市华人投资有限公司及朱翠云、宋江、顾振华、潘金平、齐昌玮、张小荷、项小岳、王斌签署了《非公开发行股份与资产购买协议书》，并经2008年第三届董事会第三次会议决议、2008年第二次临时股东大会决议通过，本公司以通过非公开发行13,511.10万股普通股为对价，认购华孚控股、深圳市华人投资有限公司及朱翠云、宋江、顾振华、潘金平、齐昌玮、张小荷、项小岳、王斌八位自然人合计持有的深圳市华孚进出口有限公司100%股权；认购华孚控股持有的江西华孚色纺有限公司40%股权、持有的浙江缙云华孚纺织有限公司29.70%股权以及持有的浙江金棉纺织有限公司37.50%股权(以下简称“标的资产”)。</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2008年12月29日，根据中国证券监督管理委员会上市公司并购重组审核委员会审核结果，本公司发行股份购买资产暨关联交易获得有条件通过。</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2008年12月31日，本公司召开2008年第四次临时股东大会，决议通过《关于变更公司注册名称的议案》，本公司注册名称拟由“安徽飞亚纺织发展股份有限公司”变更为“安徽华孚色纺股份有限公司”，并于2009年1月5日完成工商变更登记手续。</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2009年3月19日，本公司召开2008年度股东大会，决议通过《关于变更公司注册名称的议案》，本公司注册名称拟由“安徽华孚色纺股份有限公司”变更为“华孚色纺股份有限公司”。</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公司2017年8月23日召开第六届董事会第八次会议、2017年9月12日召开2017年第二次临时股东大会审议通过了《关于拟变更公司名称、证券简称及修订〈公司章程〉的议案》，公司名称由华孚色纺股份有限公司变更为华孚时尚股份有限公司，现持有统一社会信用代码为9134060072553187XK的营业执照。</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经过历年的派送红股、配售新股、转增股本及增发新股，截止2023年12月31日，本公司累计发行股本总数170,068.1355万股，注册资本为170,068.1355万元，注册地址：淮北经济开发区新区石山路6号，总部地址：广东省深圳市福田区</w:t>
      </w:r>
      <w:proofErr w:type="gramStart"/>
      <w:r w:rsidRPr="00AC0334">
        <w:rPr>
          <w:rFonts w:asciiTheme="minorEastAsia" w:eastAsiaTheme="minorEastAsia" w:hAnsiTheme="minorEastAsia" w:hint="eastAsia"/>
          <w:sz w:val="18"/>
          <w:szCs w:val="18"/>
        </w:rPr>
        <w:t>市花路</w:t>
      </w:r>
      <w:proofErr w:type="gramEnd"/>
      <w:r w:rsidRPr="00AC0334">
        <w:rPr>
          <w:rFonts w:asciiTheme="minorEastAsia" w:eastAsiaTheme="minorEastAsia" w:hAnsiTheme="minorEastAsia" w:hint="eastAsia"/>
          <w:sz w:val="18"/>
          <w:szCs w:val="18"/>
        </w:rPr>
        <w:t>5号</w:t>
      </w:r>
      <w:proofErr w:type="gramStart"/>
      <w:r w:rsidRPr="00AC0334">
        <w:rPr>
          <w:rFonts w:asciiTheme="minorEastAsia" w:eastAsiaTheme="minorEastAsia" w:hAnsiTheme="minorEastAsia" w:hint="eastAsia"/>
          <w:sz w:val="18"/>
          <w:szCs w:val="18"/>
        </w:rPr>
        <w:t>长富金茂</w:t>
      </w:r>
      <w:proofErr w:type="gramEnd"/>
      <w:r w:rsidRPr="00AC0334">
        <w:rPr>
          <w:rFonts w:asciiTheme="minorEastAsia" w:eastAsiaTheme="minorEastAsia" w:hAnsiTheme="minorEastAsia" w:hint="eastAsia"/>
          <w:sz w:val="18"/>
          <w:szCs w:val="18"/>
        </w:rPr>
        <w:t>大厦59楼，母公司为华孚控股有限公司，最终实际控制人为孙伟挺、陈玲芬。</w:t>
      </w:r>
    </w:p>
    <w:p w:rsidR="00BE788E" w:rsidRPr="00AC0334" w:rsidRDefault="00BE788E" w:rsidP="00AC0334">
      <w:pPr>
        <w:pStyle w:val="a3"/>
        <w:spacing w:before="0" w:beforeAutospacing="0" w:after="0" w:afterAutospacing="0"/>
        <w:ind w:firstLine="540"/>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公司业务性质和主要经营活动</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本公司属纺织行业，主要经营活动：纱线的研发、生产、销售；棉花的采购、加工、销售；</w:t>
      </w:r>
      <w:proofErr w:type="gramStart"/>
      <w:r w:rsidRPr="00AC0334">
        <w:rPr>
          <w:rFonts w:asciiTheme="minorEastAsia" w:eastAsiaTheme="minorEastAsia" w:hAnsiTheme="minorEastAsia" w:hint="eastAsia"/>
          <w:sz w:val="18"/>
          <w:szCs w:val="18"/>
        </w:rPr>
        <w:t>袜</w:t>
      </w:r>
      <w:proofErr w:type="gramEnd"/>
      <w:r w:rsidRPr="00AC0334">
        <w:rPr>
          <w:rFonts w:asciiTheme="minorEastAsia" w:eastAsiaTheme="minorEastAsia" w:hAnsiTheme="minorEastAsia" w:hint="eastAsia"/>
          <w:sz w:val="18"/>
          <w:szCs w:val="18"/>
        </w:rPr>
        <w:t>制品设计、生产、销售等。</w:t>
      </w:r>
    </w:p>
    <w:p w:rsidR="00BE788E" w:rsidRPr="00AC0334" w:rsidRDefault="00BE788E" w:rsidP="00AC0334">
      <w:pPr>
        <w:pStyle w:val="a3"/>
        <w:spacing w:before="0" w:beforeAutospacing="0" w:after="0" w:afterAutospacing="0"/>
        <w:ind w:firstLine="540"/>
        <w:jc w:val="both"/>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合并财务报表范围</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本公司本期纳入合并范围的子公司共</w:t>
      </w:r>
      <w:r w:rsidRPr="00AC0334">
        <w:rPr>
          <w:rFonts w:asciiTheme="minorEastAsia" w:eastAsiaTheme="minorEastAsia" w:hAnsiTheme="minorEastAsia" w:cs="Times New Roman"/>
          <w:sz w:val="18"/>
          <w:szCs w:val="18"/>
        </w:rPr>
        <w:t>86</w:t>
      </w:r>
      <w:r w:rsidRPr="00AC0334">
        <w:rPr>
          <w:rFonts w:asciiTheme="minorEastAsia" w:eastAsiaTheme="minorEastAsia" w:hAnsiTheme="minorEastAsia" w:hint="eastAsia"/>
          <w:sz w:val="18"/>
          <w:szCs w:val="18"/>
        </w:rPr>
        <w:t>户，详见附注七、在其他主体中的权益。本期纳入合并财务报表范围的主体较上期相比，增加</w:t>
      </w:r>
      <w:r w:rsidRPr="00AC0334">
        <w:rPr>
          <w:rFonts w:asciiTheme="minorEastAsia" w:eastAsiaTheme="minorEastAsia" w:hAnsiTheme="minorEastAsia" w:cs="Times New Roman"/>
          <w:sz w:val="18"/>
          <w:szCs w:val="18"/>
        </w:rPr>
        <w:t>6</w:t>
      </w:r>
      <w:r w:rsidRPr="00AC0334">
        <w:rPr>
          <w:rFonts w:asciiTheme="minorEastAsia" w:eastAsiaTheme="minorEastAsia" w:hAnsiTheme="minorEastAsia" w:hint="eastAsia"/>
          <w:sz w:val="18"/>
          <w:szCs w:val="18"/>
        </w:rPr>
        <w:t>户，减少</w:t>
      </w:r>
      <w:r w:rsidRPr="00AC0334">
        <w:rPr>
          <w:rFonts w:asciiTheme="minorEastAsia" w:eastAsiaTheme="minorEastAsia" w:hAnsiTheme="minorEastAsia" w:cs="Times New Roman"/>
          <w:sz w:val="18"/>
          <w:szCs w:val="18"/>
        </w:rPr>
        <w:t>5</w:t>
      </w:r>
      <w:r w:rsidRPr="00AC0334">
        <w:rPr>
          <w:rFonts w:asciiTheme="minorEastAsia" w:eastAsiaTheme="minorEastAsia" w:hAnsiTheme="minorEastAsia" w:hint="eastAsia"/>
          <w:sz w:val="18"/>
          <w:szCs w:val="18"/>
        </w:rPr>
        <w:t>户，合并范围变更主体的具体信息详见附注六、合并范围的变更。</w:t>
      </w:r>
    </w:p>
    <w:p w:rsidR="00BE788E" w:rsidRPr="00AC0334" w:rsidRDefault="00BE788E" w:rsidP="00AC0334">
      <w:pPr>
        <w:pStyle w:val="a3"/>
        <w:spacing w:before="0" w:beforeAutospacing="0" w:after="0" w:afterAutospacing="0"/>
        <w:ind w:firstLine="540"/>
        <w:divId w:val="1525905460"/>
        <w:rPr>
          <w:rFonts w:asciiTheme="minorEastAsia" w:eastAsiaTheme="minorEastAsia" w:hAnsiTheme="minorEastAsia" w:cs="Calibri"/>
          <w:sz w:val="21"/>
          <w:szCs w:val="21"/>
        </w:rPr>
      </w:pPr>
      <w:r w:rsidRPr="00AC0334">
        <w:rPr>
          <w:rFonts w:asciiTheme="minorEastAsia" w:eastAsiaTheme="minorEastAsia" w:hAnsiTheme="minorEastAsia" w:cs="Calibri" w:hint="eastAsia"/>
          <w:sz w:val="18"/>
          <w:szCs w:val="18"/>
        </w:rPr>
        <w:t>财务报表的批准报出</w:t>
      </w:r>
    </w:p>
    <w:p w:rsidR="00BE788E" w:rsidRPr="00AC0334" w:rsidRDefault="00BE788E" w:rsidP="00AC0334">
      <w:pPr>
        <w:pStyle w:val="a3"/>
        <w:spacing w:before="0" w:beforeAutospacing="0" w:after="0" w:afterAutospacing="0"/>
        <w:ind w:firstLine="420"/>
        <w:jc w:val="both"/>
        <w:divId w:val="1525905460"/>
        <w:rPr>
          <w:rFonts w:asciiTheme="minorEastAsia" w:eastAsiaTheme="minorEastAsia" w:hAnsiTheme="minorEastAsia"/>
        </w:rPr>
      </w:pPr>
      <w:r w:rsidRPr="00AC0334">
        <w:rPr>
          <w:rFonts w:asciiTheme="minorEastAsia" w:eastAsiaTheme="minorEastAsia" w:hAnsiTheme="minorEastAsia" w:hint="eastAsia"/>
          <w:sz w:val="18"/>
          <w:szCs w:val="18"/>
        </w:rPr>
        <w:t>本财务报表业经公司董事会于2024年8月29日批准报出。</w:t>
      </w:r>
    </w:p>
    <w:p w:rsidR="00037019" w:rsidRDefault="00BE788E">
      <w:pPr>
        <w:pStyle w:val="2"/>
        <w:spacing w:before="300" w:after="300" w:line="320" w:lineRule="exact"/>
        <w:rPr>
          <w:rFonts w:ascii="宋体" w:eastAsia="宋体" w:hAnsi="宋体" w:cs="宋体"/>
          <w:b/>
          <w:bCs/>
          <w:sz w:val="24"/>
          <w:szCs w:val="24"/>
        </w:rPr>
      </w:pPr>
      <w:bookmarkStart w:id="114" w:name="_Toc989003"/>
      <w:r>
        <w:rPr>
          <w:rFonts w:ascii="宋体" w:eastAsia="宋体" w:hAnsi="宋体" w:cs="宋体"/>
          <w:b/>
          <w:bCs/>
          <w:sz w:val="24"/>
          <w:szCs w:val="24"/>
        </w:rPr>
        <w:t>四、财务报表的编制基础</w:t>
      </w:r>
      <w:bookmarkEnd w:id="114"/>
    </w:p>
    <w:p w:rsidR="00037019" w:rsidRDefault="00BE788E">
      <w:pPr>
        <w:pStyle w:val="3"/>
        <w:spacing w:line="280" w:lineRule="exact"/>
        <w:jc w:val="left"/>
        <w:rPr>
          <w:rFonts w:ascii="宋体" w:hAnsi="宋体" w:cs="宋体"/>
          <w:b/>
          <w:bCs/>
        </w:rPr>
      </w:pPr>
      <w:bookmarkStart w:id="115" w:name="_Toc989004"/>
      <w:r>
        <w:rPr>
          <w:rFonts w:ascii="宋体" w:hAnsi="宋体" w:cs="宋体"/>
          <w:b/>
          <w:bCs/>
        </w:rPr>
        <w:t>1、编制基础</w:t>
      </w:r>
      <w:bookmarkEnd w:id="115"/>
    </w:p>
    <w:p w:rsidR="00BE788E" w:rsidRPr="00AC0334" w:rsidRDefault="00BE788E" w:rsidP="00AC0334">
      <w:pPr>
        <w:pStyle w:val="a3"/>
        <w:spacing w:before="0" w:beforeAutospacing="0" w:after="0" w:afterAutospacing="0"/>
        <w:ind w:firstLine="420"/>
        <w:jc w:val="both"/>
        <w:divId w:val="2048768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w:t>
      </w:r>
      <w:r w:rsidRPr="00AC0334">
        <w:rPr>
          <w:rFonts w:asciiTheme="minorEastAsia" w:eastAsiaTheme="minorEastAsia" w:hAnsiTheme="minorEastAsia"/>
          <w:sz w:val="18"/>
          <w:szCs w:val="18"/>
        </w:rPr>
        <w:t>15</w:t>
      </w:r>
      <w:r w:rsidRPr="00AC0334">
        <w:rPr>
          <w:rFonts w:asciiTheme="minorEastAsia" w:eastAsiaTheme="minorEastAsia" w:hAnsiTheme="minorEastAsia" w:hint="eastAsia"/>
          <w:sz w:val="18"/>
          <w:szCs w:val="18"/>
        </w:rPr>
        <w:t>号——财务报告的一般规定》（</w:t>
      </w:r>
      <w:r w:rsidRPr="00AC0334">
        <w:rPr>
          <w:rFonts w:asciiTheme="minorEastAsia" w:eastAsiaTheme="minorEastAsia" w:hAnsiTheme="minorEastAsia"/>
          <w:sz w:val="18"/>
          <w:szCs w:val="18"/>
        </w:rPr>
        <w:t>2023</w:t>
      </w:r>
      <w:r w:rsidRPr="00AC0334">
        <w:rPr>
          <w:rFonts w:asciiTheme="minorEastAsia" w:eastAsiaTheme="minorEastAsia" w:hAnsiTheme="minorEastAsia" w:hint="eastAsia"/>
          <w:sz w:val="18"/>
          <w:szCs w:val="18"/>
        </w:rPr>
        <w:t>年修订）的规定，编制财务报表。</w:t>
      </w:r>
    </w:p>
    <w:p w:rsidR="00037019" w:rsidRDefault="00BE788E">
      <w:pPr>
        <w:pStyle w:val="3"/>
        <w:spacing w:line="280" w:lineRule="exact"/>
        <w:jc w:val="left"/>
        <w:rPr>
          <w:rFonts w:ascii="宋体" w:hAnsi="宋体" w:cs="宋体"/>
          <w:b/>
          <w:bCs/>
        </w:rPr>
      </w:pPr>
      <w:bookmarkStart w:id="116" w:name="_Toc989005"/>
      <w:r>
        <w:rPr>
          <w:rFonts w:ascii="宋体" w:hAnsi="宋体" w:cs="宋体"/>
          <w:b/>
          <w:bCs/>
        </w:rPr>
        <w:t>2、持续经营</w:t>
      </w:r>
      <w:bookmarkEnd w:id="116"/>
    </w:p>
    <w:p w:rsidR="00BE788E" w:rsidRPr="00AC0334" w:rsidRDefault="00BE788E" w:rsidP="00AC0334">
      <w:pPr>
        <w:pStyle w:val="a3"/>
        <w:spacing w:before="0" w:beforeAutospacing="0" w:after="0" w:afterAutospacing="0"/>
        <w:ind w:firstLine="420"/>
        <w:jc w:val="both"/>
        <w:divId w:val="46493132"/>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本公司对报告</w:t>
      </w:r>
      <w:proofErr w:type="gramStart"/>
      <w:r w:rsidRPr="00AC0334">
        <w:rPr>
          <w:rFonts w:asciiTheme="minorEastAsia" w:eastAsiaTheme="minorEastAsia" w:hAnsiTheme="minorEastAsia" w:hint="eastAsia"/>
          <w:sz w:val="18"/>
          <w:szCs w:val="18"/>
        </w:rPr>
        <w:t>期末起</w:t>
      </w:r>
      <w:proofErr w:type="gramEnd"/>
      <w:r w:rsidRPr="00AC0334">
        <w:rPr>
          <w:rFonts w:asciiTheme="minorEastAsia" w:eastAsiaTheme="minorEastAsia" w:hAnsiTheme="minorEastAsia"/>
          <w:sz w:val="18"/>
          <w:szCs w:val="18"/>
        </w:rPr>
        <w:t>12</w:t>
      </w:r>
      <w:r w:rsidRPr="00AC0334">
        <w:rPr>
          <w:rFonts w:asciiTheme="minorEastAsia" w:eastAsiaTheme="minorEastAsia" w:hAnsiTheme="minorEastAsia" w:hint="eastAsia"/>
          <w:sz w:val="18"/>
          <w:szCs w:val="18"/>
        </w:rPr>
        <w:t>个月的持续经营能力进行了评价，未发现对持续经营能力产生重大怀疑的事项或情况。因此，本财务报表系在持续经营假设的基础上编制。</w:t>
      </w:r>
    </w:p>
    <w:p w:rsidR="00037019" w:rsidRDefault="00BE788E">
      <w:pPr>
        <w:pStyle w:val="2"/>
        <w:spacing w:before="300" w:after="300" w:line="560" w:lineRule="exact"/>
        <w:rPr>
          <w:rFonts w:ascii="宋体" w:eastAsia="宋体" w:hAnsi="宋体" w:cs="宋体"/>
          <w:b/>
          <w:bCs/>
          <w:sz w:val="24"/>
          <w:szCs w:val="24"/>
        </w:rPr>
      </w:pPr>
      <w:bookmarkStart w:id="117" w:name="_Toc989006"/>
      <w:r>
        <w:rPr>
          <w:rFonts w:ascii="宋体" w:eastAsia="宋体" w:hAnsi="宋体" w:cs="宋体"/>
          <w:b/>
          <w:bCs/>
          <w:sz w:val="24"/>
          <w:szCs w:val="24"/>
        </w:rPr>
        <w:t>五、重要会计政策及会计估计</w:t>
      </w:r>
      <w:bookmarkEnd w:id="117"/>
    </w:p>
    <w:p w:rsidR="00037019" w:rsidRPr="00AC0334" w:rsidRDefault="00BE788E" w:rsidP="00AC0334">
      <w:pPr>
        <w:pStyle w:val="a3"/>
        <w:spacing w:before="0" w:beforeAutospacing="0" w:after="0" w:afterAutospacing="0"/>
        <w:ind w:firstLine="420"/>
        <w:jc w:val="both"/>
        <w:rPr>
          <w:rFonts w:asciiTheme="minorEastAsia" w:eastAsiaTheme="minorEastAsia" w:hAnsiTheme="minorEastAsia"/>
          <w:sz w:val="18"/>
          <w:szCs w:val="18"/>
        </w:rPr>
      </w:pPr>
      <w:r w:rsidRPr="00AC0334">
        <w:rPr>
          <w:rFonts w:asciiTheme="minorEastAsia" w:eastAsiaTheme="minorEastAsia" w:hAnsiTheme="minorEastAsia"/>
          <w:sz w:val="18"/>
          <w:szCs w:val="18"/>
        </w:rPr>
        <w:t>具体会计政策和会计估计提示：</w:t>
      </w:r>
    </w:p>
    <w:p w:rsidR="00BE788E" w:rsidRPr="00AC0334" w:rsidRDefault="00BE788E" w:rsidP="00AC0334">
      <w:pPr>
        <w:pStyle w:val="a3"/>
        <w:spacing w:before="0" w:beforeAutospacing="0" w:after="0" w:afterAutospacing="0"/>
        <w:ind w:firstLine="420"/>
        <w:jc w:val="both"/>
        <w:divId w:val="1337343052"/>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无变更。</w:t>
      </w:r>
    </w:p>
    <w:p w:rsidR="00037019" w:rsidRDefault="00BE788E">
      <w:pPr>
        <w:pStyle w:val="3"/>
        <w:spacing w:line="280" w:lineRule="exact"/>
        <w:jc w:val="left"/>
        <w:rPr>
          <w:rFonts w:ascii="宋体" w:hAnsi="宋体" w:cs="宋体"/>
          <w:b/>
          <w:bCs/>
        </w:rPr>
      </w:pPr>
      <w:bookmarkStart w:id="118" w:name="_Toc989007"/>
      <w:r>
        <w:rPr>
          <w:rFonts w:ascii="宋体" w:hAnsi="宋体" w:cs="宋体"/>
          <w:b/>
          <w:bCs/>
        </w:rPr>
        <w:t>1、遵循企业会计准则的声明</w:t>
      </w:r>
      <w:bookmarkEnd w:id="118"/>
    </w:p>
    <w:p w:rsidR="00BE788E" w:rsidRPr="00AC0334" w:rsidRDefault="00BE788E" w:rsidP="00AC0334">
      <w:pPr>
        <w:pStyle w:val="a3"/>
        <w:spacing w:before="0" w:beforeAutospacing="0" w:after="0" w:afterAutospacing="0"/>
        <w:ind w:firstLine="420"/>
        <w:jc w:val="both"/>
        <w:divId w:val="1229002805"/>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本公司所编制的财务报表符合企业会计准则的要求，真实、完整地反映了报告期公司的财务状况、经营成果、现金流量等有关信息。</w:t>
      </w:r>
    </w:p>
    <w:p w:rsidR="00037019" w:rsidRDefault="00BE788E">
      <w:pPr>
        <w:pStyle w:val="3"/>
        <w:spacing w:line="280" w:lineRule="exact"/>
        <w:jc w:val="left"/>
        <w:rPr>
          <w:rFonts w:ascii="宋体" w:hAnsi="宋体" w:cs="宋体"/>
          <w:b/>
          <w:bCs/>
        </w:rPr>
      </w:pPr>
      <w:bookmarkStart w:id="119" w:name="_Toc989008"/>
      <w:r>
        <w:rPr>
          <w:rFonts w:ascii="宋体" w:hAnsi="宋体" w:cs="宋体"/>
          <w:b/>
          <w:bCs/>
        </w:rPr>
        <w:t>2、会计期间</w:t>
      </w:r>
      <w:bookmarkEnd w:id="119"/>
    </w:p>
    <w:p w:rsidR="00BE788E" w:rsidRPr="00AC0334" w:rsidRDefault="00BE788E" w:rsidP="00AC0334">
      <w:pPr>
        <w:pStyle w:val="a3"/>
        <w:spacing w:before="0" w:beforeAutospacing="0" w:after="0" w:afterAutospacing="0"/>
        <w:ind w:firstLine="420"/>
        <w:jc w:val="both"/>
        <w:divId w:val="1121651334"/>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自公历</w:t>
      </w:r>
      <w:r w:rsidRPr="00AC0334">
        <w:rPr>
          <w:rFonts w:asciiTheme="minorEastAsia" w:eastAsiaTheme="minorEastAsia" w:hAnsiTheme="minorEastAsia"/>
          <w:sz w:val="18"/>
          <w:szCs w:val="18"/>
        </w:rPr>
        <w:t>1</w:t>
      </w:r>
      <w:r w:rsidRPr="00AC0334">
        <w:rPr>
          <w:rFonts w:asciiTheme="minorEastAsia" w:eastAsiaTheme="minorEastAsia" w:hAnsiTheme="minorEastAsia" w:hint="eastAsia"/>
          <w:sz w:val="18"/>
          <w:szCs w:val="18"/>
        </w:rPr>
        <w:t>月</w:t>
      </w:r>
      <w:r w:rsidRPr="00AC0334">
        <w:rPr>
          <w:rFonts w:asciiTheme="minorEastAsia" w:eastAsiaTheme="minorEastAsia" w:hAnsiTheme="minorEastAsia"/>
          <w:sz w:val="18"/>
          <w:szCs w:val="18"/>
        </w:rPr>
        <w:t>1</w:t>
      </w:r>
      <w:r w:rsidRPr="00AC0334">
        <w:rPr>
          <w:rFonts w:asciiTheme="minorEastAsia" w:eastAsiaTheme="minorEastAsia" w:hAnsiTheme="minorEastAsia" w:hint="eastAsia"/>
          <w:sz w:val="18"/>
          <w:szCs w:val="18"/>
        </w:rPr>
        <w:t>日至</w:t>
      </w:r>
      <w:r w:rsidRPr="00AC0334">
        <w:rPr>
          <w:rFonts w:asciiTheme="minorEastAsia" w:eastAsiaTheme="minorEastAsia" w:hAnsiTheme="minorEastAsia"/>
          <w:sz w:val="18"/>
          <w:szCs w:val="18"/>
        </w:rPr>
        <w:t>12</w:t>
      </w:r>
      <w:r w:rsidRPr="00AC0334">
        <w:rPr>
          <w:rFonts w:asciiTheme="minorEastAsia" w:eastAsiaTheme="minorEastAsia" w:hAnsiTheme="minorEastAsia" w:hint="eastAsia"/>
          <w:sz w:val="18"/>
          <w:szCs w:val="18"/>
        </w:rPr>
        <w:t>月</w:t>
      </w:r>
      <w:r w:rsidRPr="00AC0334">
        <w:rPr>
          <w:rFonts w:asciiTheme="minorEastAsia" w:eastAsiaTheme="minorEastAsia" w:hAnsiTheme="minorEastAsia"/>
          <w:sz w:val="18"/>
          <w:szCs w:val="18"/>
        </w:rPr>
        <w:t>31</w:t>
      </w:r>
      <w:r w:rsidRPr="00AC0334">
        <w:rPr>
          <w:rFonts w:asciiTheme="minorEastAsia" w:eastAsiaTheme="minorEastAsia" w:hAnsiTheme="minorEastAsia" w:hint="eastAsia"/>
          <w:sz w:val="18"/>
          <w:szCs w:val="18"/>
        </w:rPr>
        <w:t>日止为一个会计年度。</w:t>
      </w:r>
    </w:p>
    <w:p w:rsidR="00037019" w:rsidRDefault="00BE788E">
      <w:pPr>
        <w:pStyle w:val="3"/>
        <w:spacing w:line="280" w:lineRule="exact"/>
        <w:jc w:val="left"/>
        <w:rPr>
          <w:rFonts w:ascii="宋体" w:hAnsi="宋体" w:cs="宋体"/>
          <w:b/>
          <w:bCs/>
        </w:rPr>
      </w:pPr>
      <w:bookmarkStart w:id="120" w:name="_Toc989009"/>
      <w:r>
        <w:rPr>
          <w:rFonts w:ascii="宋体" w:hAnsi="宋体" w:cs="宋体"/>
          <w:b/>
          <w:bCs/>
        </w:rPr>
        <w:t>3、营业周期</w:t>
      </w:r>
      <w:bookmarkEnd w:id="120"/>
    </w:p>
    <w:p w:rsidR="00BE788E" w:rsidRPr="00AC0334" w:rsidRDefault="00BE788E" w:rsidP="00AC0334">
      <w:pPr>
        <w:pStyle w:val="a3"/>
        <w:spacing w:before="0" w:beforeAutospacing="0" w:after="0" w:afterAutospacing="0"/>
        <w:ind w:firstLine="420"/>
        <w:jc w:val="both"/>
        <w:divId w:val="1188637857"/>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营业周期是指企业从购买用于加工的资产起</w:t>
      </w:r>
      <w:proofErr w:type="gramStart"/>
      <w:r w:rsidRPr="00AC0334">
        <w:rPr>
          <w:rFonts w:asciiTheme="minorEastAsia" w:eastAsiaTheme="minorEastAsia" w:hAnsiTheme="minorEastAsia" w:hint="eastAsia"/>
          <w:sz w:val="18"/>
          <w:szCs w:val="18"/>
        </w:rPr>
        <w:t>至实现</w:t>
      </w:r>
      <w:proofErr w:type="gramEnd"/>
      <w:r w:rsidRPr="00AC0334">
        <w:rPr>
          <w:rFonts w:asciiTheme="minorEastAsia" w:eastAsiaTheme="minorEastAsia" w:hAnsiTheme="minorEastAsia" w:hint="eastAsia"/>
          <w:sz w:val="18"/>
          <w:szCs w:val="18"/>
        </w:rPr>
        <w:t>现金或现金等价物的期间。本公司以</w:t>
      </w:r>
      <w:r w:rsidRPr="00AC0334">
        <w:rPr>
          <w:rFonts w:asciiTheme="minorEastAsia" w:eastAsiaTheme="minorEastAsia" w:hAnsiTheme="minorEastAsia"/>
          <w:sz w:val="18"/>
          <w:szCs w:val="18"/>
        </w:rPr>
        <w:t>12</w:t>
      </w:r>
      <w:r w:rsidRPr="00AC0334">
        <w:rPr>
          <w:rFonts w:asciiTheme="minorEastAsia" w:eastAsiaTheme="minorEastAsia" w:hAnsiTheme="minorEastAsia" w:hint="eastAsia"/>
          <w:sz w:val="18"/>
          <w:szCs w:val="18"/>
        </w:rPr>
        <w:t>个月作为一个营业周期，并以其作为资产和负债的流动性划分标准。</w:t>
      </w:r>
    </w:p>
    <w:p w:rsidR="00037019" w:rsidRDefault="00BE788E">
      <w:pPr>
        <w:pStyle w:val="3"/>
        <w:spacing w:line="280" w:lineRule="exact"/>
        <w:jc w:val="left"/>
        <w:rPr>
          <w:rFonts w:ascii="宋体" w:hAnsi="宋体" w:cs="宋体"/>
          <w:b/>
          <w:bCs/>
        </w:rPr>
      </w:pPr>
      <w:bookmarkStart w:id="121" w:name="_Toc989010"/>
      <w:r>
        <w:rPr>
          <w:rFonts w:ascii="宋体" w:hAnsi="宋体" w:cs="宋体"/>
          <w:b/>
          <w:bCs/>
        </w:rPr>
        <w:lastRenderedPageBreak/>
        <w:t>4、记账本位币</w:t>
      </w:r>
      <w:bookmarkEnd w:id="121"/>
    </w:p>
    <w:p w:rsidR="00BE788E" w:rsidRPr="00AC0334" w:rsidRDefault="00BE788E" w:rsidP="00AC0334">
      <w:pPr>
        <w:pStyle w:val="a3"/>
        <w:spacing w:before="0" w:beforeAutospacing="0" w:after="0" w:afterAutospacing="0"/>
        <w:ind w:firstLine="420"/>
        <w:jc w:val="both"/>
        <w:divId w:val="917322913"/>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采用人民币为记账本位币。境外子公司以其经营所处的主要经济环境中的货币为记账本位币，编制财务报表时折算为人民币。</w:t>
      </w:r>
    </w:p>
    <w:p w:rsidR="00037019" w:rsidRDefault="00BE788E">
      <w:pPr>
        <w:pStyle w:val="3"/>
        <w:spacing w:line="280" w:lineRule="exact"/>
        <w:jc w:val="left"/>
        <w:rPr>
          <w:rFonts w:ascii="宋体" w:hAnsi="宋体" w:cs="宋体"/>
          <w:b/>
          <w:bCs/>
        </w:rPr>
      </w:pPr>
      <w:bookmarkStart w:id="122" w:name="_Toc989011"/>
      <w:r>
        <w:rPr>
          <w:rFonts w:ascii="宋体" w:hAnsi="宋体" w:cs="宋体"/>
          <w:b/>
          <w:bCs/>
        </w:rPr>
        <w:t>5、重要性标准确定方法和选择依据</w:t>
      </w:r>
      <w:bookmarkEnd w:id="12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重要性标准</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重要的单项计提坏账准备的应收款项</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金额≥100万</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本期重要的应收款项核销</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金额≥100万</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本期坏账准备收回或转回金额重要的应收账款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金额≥100万</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重要的在建工程</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期末或</w:t>
            </w:r>
            <w:proofErr w:type="gramEnd"/>
            <w:r>
              <w:rPr>
                <w:rFonts w:ascii="宋体" w:eastAsia="宋体" w:hAnsi="宋体" w:cs="宋体"/>
                <w:sz w:val="18"/>
                <w:szCs w:val="18"/>
              </w:rPr>
              <w:t>期初余额≥1000万</w:t>
            </w:r>
          </w:p>
        </w:tc>
      </w:tr>
    </w:tbl>
    <w:p w:rsidR="00037019" w:rsidRDefault="00BE788E">
      <w:pPr>
        <w:pStyle w:val="3"/>
        <w:spacing w:line="280" w:lineRule="exact"/>
        <w:jc w:val="left"/>
        <w:rPr>
          <w:rFonts w:ascii="宋体" w:hAnsi="宋体" w:cs="宋体"/>
          <w:b/>
          <w:bCs/>
        </w:rPr>
      </w:pPr>
      <w:bookmarkStart w:id="123" w:name="_Toc989012"/>
      <w:r>
        <w:rPr>
          <w:rFonts w:ascii="宋体" w:hAnsi="宋体" w:cs="宋体"/>
          <w:b/>
          <w:bCs/>
        </w:rPr>
        <w:t>6、同</w:t>
      </w:r>
      <w:proofErr w:type="gramStart"/>
      <w:r>
        <w:rPr>
          <w:rFonts w:ascii="宋体" w:hAnsi="宋体" w:cs="宋体"/>
          <w:b/>
          <w:bCs/>
        </w:rPr>
        <w:t>一控制</w:t>
      </w:r>
      <w:proofErr w:type="gramEnd"/>
      <w:r>
        <w:rPr>
          <w:rFonts w:ascii="宋体" w:hAnsi="宋体" w:cs="宋体"/>
          <w:b/>
          <w:bCs/>
        </w:rPr>
        <w:t>下和非同</w:t>
      </w:r>
      <w:proofErr w:type="gramStart"/>
      <w:r>
        <w:rPr>
          <w:rFonts w:ascii="宋体" w:hAnsi="宋体" w:cs="宋体"/>
          <w:b/>
          <w:bCs/>
        </w:rPr>
        <w:t>一控制</w:t>
      </w:r>
      <w:proofErr w:type="gramEnd"/>
      <w:r>
        <w:rPr>
          <w:rFonts w:ascii="宋体" w:hAnsi="宋体" w:cs="宋体"/>
          <w:b/>
          <w:bCs/>
        </w:rPr>
        <w:t>下企业合并的会计处理方法</w:t>
      </w:r>
      <w:bookmarkEnd w:id="123"/>
    </w:p>
    <w:p w:rsidR="00BE788E" w:rsidRPr="00AC0334" w:rsidRDefault="00BE788E" w:rsidP="00AC0334">
      <w:pPr>
        <w:widowControl/>
        <w:numPr>
          <w:ilvl w:val="0"/>
          <w:numId w:val="1"/>
        </w:numPr>
        <w:spacing w:before="100" w:beforeAutospacing="1" w:after="100" w:afterAutospacing="1"/>
        <w:divId w:val="2145925896"/>
        <w:rPr>
          <w:rFonts w:asciiTheme="minorEastAsia" w:hAnsiTheme="minorEastAsia"/>
          <w:sz w:val="18"/>
          <w:szCs w:val="18"/>
        </w:rPr>
      </w:pPr>
      <w:r w:rsidRPr="00AC0334">
        <w:rPr>
          <w:rFonts w:asciiTheme="minorEastAsia" w:hAnsiTheme="minorEastAsia" w:hint="eastAsia"/>
          <w:sz w:val="18"/>
          <w:szCs w:val="18"/>
        </w:rPr>
        <w:t>分步实现企业合并过程中的各项交易的条款、条件以及经济影响符合以下一种或多种情况，将多次交易事项作为一揽子交易进行会计处理</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1</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这些交易是同时或者在考虑了彼此影响的情况下订立的；</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2</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这些交易整体才能达成一项完整的商业结果；</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3</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一项交易的发生取决于其他至少一项交易的发生；</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4</w:t>
      </w:r>
      <w:r w:rsidRPr="00AC0334">
        <w:rPr>
          <w:rFonts w:asciiTheme="minorEastAsia" w:eastAsiaTheme="minorEastAsia" w:hAnsiTheme="minorEastAsia" w:hint="eastAsia"/>
          <w:sz w:val="18"/>
          <w:szCs w:val="18"/>
        </w:rPr>
        <w:t>）</w:t>
      </w:r>
      <w:r w:rsidRPr="00AC0334">
        <w:rPr>
          <w:rFonts w:asciiTheme="minorEastAsia" w:eastAsiaTheme="minorEastAsia" w:hAnsiTheme="minorEastAsia" w:cs="Times New Roman"/>
          <w:sz w:val="18"/>
          <w:szCs w:val="18"/>
        </w:rPr>
        <w:t> </w:t>
      </w:r>
      <w:r w:rsidRPr="00AC0334">
        <w:rPr>
          <w:rFonts w:asciiTheme="minorEastAsia" w:eastAsiaTheme="minorEastAsia" w:hAnsiTheme="minorEastAsia" w:hint="eastAsia"/>
          <w:sz w:val="18"/>
          <w:szCs w:val="18"/>
        </w:rPr>
        <w:t>一项交易单独看是不经济的，但是和其他交易一并考虑时是经济的。</w:t>
      </w:r>
    </w:p>
    <w:p w:rsidR="00BE788E" w:rsidRPr="00AC0334" w:rsidRDefault="00BE788E">
      <w:pPr>
        <w:widowControl/>
        <w:numPr>
          <w:ilvl w:val="0"/>
          <w:numId w:val="2"/>
        </w:numPr>
        <w:spacing w:before="100" w:beforeAutospacing="1" w:after="100" w:afterAutospacing="1"/>
        <w:divId w:val="2145925896"/>
        <w:rPr>
          <w:rFonts w:asciiTheme="minorEastAsia" w:hAnsiTheme="minorEastAsia"/>
          <w:sz w:val="18"/>
          <w:szCs w:val="18"/>
        </w:rPr>
      </w:pPr>
      <w:r w:rsidRPr="00AC0334">
        <w:rPr>
          <w:rFonts w:asciiTheme="minorEastAsia" w:hAnsiTheme="minorEastAsia" w:hint="eastAsia"/>
          <w:sz w:val="18"/>
          <w:szCs w:val="18"/>
        </w:rPr>
        <w:t>同</w:t>
      </w:r>
      <w:proofErr w:type="gramStart"/>
      <w:r w:rsidRPr="00AC0334">
        <w:rPr>
          <w:rFonts w:asciiTheme="minorEastAsia" w:hAnsiTheme="minorEastAsia" w:hint="eastAsia"/>
          <w:sz w:val="18"/>
          <w:szCs w:val="18"/>
        </w:rPr>
        <w:t>一控制</w:t>
      </w:r>
      <w:proofErr w:type="gramEnd"/>
      <w:r w:rsidRPr="00AC0334">
        <w:rPr>
          <w:rFonts w:asciiTheme="minorEastAsia" w:hAnsiTheme="minorEastAsia" w:hint="eastAsia"/>
          <w:sz w:val="18"/>
          <w:szCs w:val="18"/>
        </w:rPr>
        <w:t>下的企业合并</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本公司在企业合并中取得的资产和负债，按照</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在被合并方资产、负债（包括最终控制</w:t>
      </w:r>
      <w:proofErr w:type="gramStart"/>
      <w:r w:rsidRPr="00AC0334">
        <w:rPr>
          <w:rFonts w:asciiTheme="minorEastAsia" w:eastAsiaTheme="minorEastAsia" w:hAnsiTheme="minorEastAsia" w:hint="eastAsia"/>
          <w:sz w:val="18"/>
          <w:szCs w:val="18"/>
        </w:rPr>
        <w:t>方收购</w:t>
      </w:r>
      <w:proofErr w:type="gramEnd"/>
      <w:r w:rsidRPr="00AC0334">
        <w:rPr>
          <w:rFonts w:asciiTheme="minorEastAsia" w:eastAsiaTheme="minorEastAsia" w:hAnsiTheme="minorEastAsia" w:hint="eastAsia"/>
          <w:sz w:val="18"/>
          <w:szCs w:val="18"/>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如果存在或有对价并需要确认预计负债或资产，该预计负债或资产金额与后续或有对价结算金额的差额，调整资本公积（资本溢价或股本溢价），资本公</w:t>
      </w:r>
      <w:proofErr w:type="gramStart"/>
      <w:r w:rsidRPr="00AC0334">
        <w:rPr>
          <w:rFonts w:asciiTheme="minorEastAsia" w:eastAsiaTheme="minorEastAsia" w:hAnsiTheme="minorEastAsia" w:hint="eastAsia"/>
          <w:sz w:val="18"/>
          <w:szCs w:val="18"/>
        </w:rPr>
        <w:t>积不足</w:t>
      </w:r>
      <w:proofErr w:type="gramEnd"/>
      <w:r w:rsidRPr="00AC0334">
        <w:rPr>
          <w:rFonts w:asciiTheme="minorEastAsia" w:eastAsiaTheme="minorEastAsia" w:hAnsiTheme="minorEastAsia" w:hint="eastAsia"/>
          <w:sz w:val="18"/>
          <w:szCs w:val="18"/>
        </w:rPr>
        <w:t>的，调整留存收益。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进一步取得股份新支付对价的账面价值之和的差额，调整资本公积；资本公</w:t>
      </w:r>
      <w:proofErr w:type="gramStart"/>
      <w:r w:rsidRPr="00AC0334">
        <w:rPr>
          <w:rFonts w:asciiTheme="minorEastAsia" w:eastAsiaTheme="minorEastAsia" w:hAnsiTheme="minorEastAsia" w:hint="eastAsia"/>
          <w:sz w:val="18"/>
          <w:szCs w:val="18"/>
        </w:rPr>
        <w:t>积不足</w:t>
      </w:r>
      <w:proofErr w:type="gramEnd"/>
      <w:r w:rsidRPr="00AC0334">
        <w:rPr>
          <w:rFonts w:asciiTheme="minorEastAsia" w:eastAsiaTheme="minorEastAsia" w:hAnsiTheme="minorEastAsia" w:hint="eastAsia"/>
          <w:sz w:val="18"/>
          <w:szCs w:val="18"/>
        </w:rPr>
        <w:t>冲减的，调整留存收益。对于</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BE788E" w:rsidRPr="00AC0334" w:rsidRDefault="00BE788E" w:rsidP="00AC0334">
      <w:pPr>
        <w:widowControl/>
        <w:numPr>
          <w:ilvl w:val="0"/>
          <w:numId w:val="3"/>
        </w:numPr>
        <w:spacing w:before="100" w:beforeAutospacing="1" w:after="100" w:afterAutospacing="1"/>
        <w:divId w:val="2145925896"/>
        <w:rPr>
          <w:rFonts w:asciiTheme="minorEastAsia" w:hAnsiTheme="minorEastAsia"/>
          <w:sz w:val="18"/>
          <w:szCs w:val="18"/>
        </w:rPr>
      </w:pPr>
      <w:r w:rsidRPr="00AC0334">
        <w:rPr>
          <w:rFonts w:asciiTheme="minorEastAsia" w:hAnsiTheme="minorEastAsia" w:hint="eastAsia"/>
          <w:sz w:val="18"/>
          <w:szCs w:val="18"/>
        </w:rPr>
        <w:t>非同</w:t>
      </w:r>
      <w:proofErr w:type="gramStart"/>
      <w:r w:rsidRPr="00AC0334">
        <w:rPr>
          <w:rFonts w:asciiTheme="minorEastAsia" w:hAnsiTheme="minorEastAsia" w:hint="eastAsia"/>
          <w:sz w:val="18"/>
          <w:szCs w:val="18"/>
        </w:rPr>
        <w:t>一控制</w:t>
      </w:r>
      <w:proofErr w:type="gramEnd"/>
      <w:r w:rsidRPr="00AC0334">
        <w:rPr>
          <w:rFonts w:asciiTheme="minorEastAsia" w:hAnsiTheme="minorEastAsia" w:hint="eastAsia"/>
          <w:sz w:val="18"/>
          <w:szCs w:val="18"/>
        </w:rPr>
        <w:t>下的企业合并</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购买日是指本公司实际取得对被购买方控制权的日期，即被购买方的净资产或生产经营决策的控制权转移给本公司的日期。同时满足下列条件时，本公司一般认为实现了控制权的转移：</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（1）企业合并合同或协议已获本公司内部权力机构通过。</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（2）企业合并事项需要经过国家有关主管部门审批的，已获得批准。</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（3）已办理了必要的财产权转移手续。</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（4）本公司已支付了合并价款的大部分，并且有能力、有计划支付剩余款项。</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（5）本公司实际上已经控制了被购买方的财务和经营政策，并享有相应的利益、承担相应的风险。</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本公司在购买日对作为企业合并对价付出的资产、发生或承担的负债按照公允价值计量，公允价值与其账面价值的差额，计入当期损益。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本公司对合并成本大于合并中取得的被购买方可辨认净资产公允价值份额的差额，确认为商誉；合并成本小于合并中取得的被购买方可辨认净资产公允价值份额的，首先对取得的被购买</w:t>
      </w:r>
      <w:proofErr w:type="gramStart"/>
      <w:r w:rsidRPr="00AC0334">
        <w:rPr>
          <w:rFonts w:asciiTheme="minorEastAsia" w:eastAsiaTheme="minorEastAsia" w:hAnsiTheme="minorEastAsia" w:hint="eastAsia"/>
          <w:sz w:val="18"/>
          <w:szCs w:val="18"/>
        </w:rPr>
        <w:t>方各项</w:t>
      </w:r>
      <w:proofErr w:type="gramEnd"/>
      <w:r w:rsidRPr="00AC0334">
        <w:rPr>
          <w:rFonts w:asciiTheme="minorEastAsia" w:eastAsiaTheme="minorEastAsia" w:hAnsiTheme="minorEastAsia" w:hint="eastAsia"/>
          <w:sz w:val="18"/>
          <w:szCs w:val="18"/>
        </w:rPr>
        <w:t>可辨认资产、负债及或有负债的公允价值以及合并成本的计量进行复核，复核后合并成本仍小于合并中取得的被购买方可辨认净资产公允价值份额的，计入当期损益。</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通过多次交换交易分步实现的非同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下企业合并，属于一揽子交易的，将各项交易作为一项取得控制权的交易进行会计处理；不属于一揽子交易的，</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之前持有的股权投资采用金融工具确认和计量准则核算的，以该股权投资在</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的公允价值加上新增投资成本之和，作为</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的初始投资成本。原持有股权的公允价值与账面价值之间的差额以及原计入其他综合收益的累计公允价值变动应全部转入</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当期的投资收益。</w:t>
      </w:r>
    </w:p>
    <w:p w:rsidR="00BE788E" w:rsidRPr="00AC0334" w:rsidRDefault="00BE788E" w:rsidP="00AC0334">
      <w:pPr>
        <w:widowControl/>
        <w:numPr>
          <w:ilvl w:val="0"/>
          <w:numId w:val="4"/>
        </w:numPr>
        <w:spacing w:before="100" w:beforeAutospacing="1" w:after="100" w:afterAutospacing="1"/>
        <w:ind w:left="714" w:hanging="357"/>
        <w:divId w:val="2145925896"/>
        <w:rPr>
          <w:rFonts w:asciiTheme="minorEastAsia" w:hAnsiTheme="minorEastAsia"/>
          <w:sz w:val="18"/>
          <w:szCs w:val="18"/>
        </w:rPr>
      </w:pPr>
      <w:r w:rsidRPr="00AC0334">
        <w:rPr>
          <w:rFonts w:asciiTheme="minorEastAsia" w:hAnsiTheme="minorEastAsia" w:hint="eastAsia"/>
          <w:sz w:val="18"/>
          <w:szCs w:val="18"/>
        </w:rPr>
        <w:t>为合并发生的相关费用</w:t>
      </w:r>
    </w:p>
    <w:p w:rsidR="00BE788E" w:rsidRPr="00AC0334" w:rsidRDefault="00BE788E" w:rsidP="00AC0334">
      <w:pPr>
        <w:pStyle w:val="a3"/>
        <w:spacing w:before="50" w:beforeAutospacing="0" w:after="0" w:afterAutospacing="0"/>
        <w:ind w:firstLine="420"/>
        <w:jc w:val="both"/>
        <w:divId w:val="2145925896"/>
        <w:rPr>
          <w:rFonts w:asciiTheme="minorEastAsia" w:eastAsiaTheme="minorEastAsia" w:hAnsiTheme="minorEastAsia"/>
        </w:rPr>
      </w:pPr>
      <w:r w:rsidRPr="00AC0334">
        <w:rPr>
          <w:rFonts w:asciiTheme="minorEastAsia" w:eastAsiaTheme="minorEastAsia" w:hAnsiTheme="minorEastAsia" w:hint="eastAsia"/>
          <w:sz w:val="18"/>
          <w:szCs w:val="18"/>
        </w:rPr>
        <w:t>为企业合并发生的审计、法律服务、评估咨询等中介费用以及其他直接相关费用，于发生时计入当期损益；为企业合并而发行权益</w:t>
      </w:r>
      <w:proofErr w:type="gramStart"/>
      <w:r w:rsidRPr="00AC0334">
        <w:rPr>
          <w:rFonts w:asciiTheme="minorEastAsia" w:eastAsiaTheme="minorEastAsia" w:hAnsiTheme="minorEastAsia" w:hint="eastAsia"/>
          <w:sz w:val="18"/>
          <w:szCs w:val="18"/>
        </w:rPr>
        <w:t>性证券</w:t>
      </w:r>
      <w:proofErr w:type="gramEnd"/>
      <w:r w:rsidRPr="00AC0334">
        <w:rPr>
          <w:rFonts w:asciiTheme="minorEastAsia" w:eastAsiaTheme="minorEastAsia" w:hAnsiTheme="minorEastAsia" w:hint="eastAsia"/>
          <w:sz w:val="18"/>
          <w:szCs w:val="18"/>
        </w:rPr>
        <w:t>的交易费用，可直接归属于权益性交易的从权益中扣减。</w:t>
      </w:r>
    </w:p>
    <w:p w:rsidR="00037019" w:rsidRDefault="00BE788E">
      <w:pPr>
        <w:pStyle w:val="3"/>
        <w:spacing w:line="280" w:lineRule="exact"/>
        <w:jc w:val="left"/>
        <w:rPr>
          <w:rFonts w:ascii="宋体" w:hAnsi="宋体" w:cs="宋体"/>
          <w:b/>
          <w:bCs/>
        </w:rPr>
      </w:pPr>
      <w:bookmarkStart w:id="124" w:name="_Toc989013"/>
      <w:r>
        <w:rPr>
          <w:rFonts w:ascii="宋体" w:hAnsi="宋体" w:cs="宋体"/>
          <w:b/>
          <w:bCs/>
        </w:rPr>
        <w:t>7、控制的判断标准和合并财务报表的编制方法</w:t>
      </w:r>
      <w:bookmarkEnd w:id="124"/>
    </w:p>
    <w:p w:rsidR="00BE788E" w:rsidRPr="00AC0334" w:rsidRDefault="00BE788E" w:rsidP="00AC0334">
      <w:pPr>
        <w:widowControl/>
        <w:numPr>
          <w:ilvl w:val="0"/>
          <w:numId w:val="5"/>
        </w:numPr>
        <w:spacing w:before="100" w:beforeAutospacing="1" w:after="100" w:afterAutospacing="1"/>
        <w:divId w:val="1891188415"/>
        <w:rPr>
          <w:rFonts w:asciiTheme="minorEastAsia" w:hAnsiTheme="minorEastAsia"/>
          <w:sz w:val="18"/>
          <w:szCs w:val="18"/>
        </w:rPr>
      </w:pPr>
      <w:r w:rsidRPr="00AC0334">
        <w:rPr>
          <w:rStyle w:val="a5"/>
          <w:rFonts w:asciiTheme="minorEastAsia" w:hAnsiTheme="minorEastAsia" w:hint="eastAsia"/>
          <w:b w:val="0"/>
          <w:sz w:val="18"/>
          <w:szCs w:val="18"/>
        </w:rPr>
        <w:t>控制的判断标准</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控制，是指投资方拥有对被投资方的权力</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通过参与被投资方的相关活动而享有可变回报，并且有能力运用对被投资方的权力影响其回报金额。</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本公司在综合考虑所有相关事实和情况的基础上对是否控制被投资方进行判断。一旦相关事实和情况的变化导致对控制定义所涉及的相关要素发生变化的，本公司会进行重新评估。相关事实和情况主要包括：</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1</w:t>
      </w:r>
      <w:r w:rsidRPr="00AC0334">
        <w:rPr>
          <w:rFonts w:asciiTheme="minorEastAsia" w:eastAsiaTheme="minorEastAsia" w:hAnsiTheme="minorEastAsia" w:hint="eastAsia"/>
          <w:sz w:val="18"/>
          <w:szCs w:val="18"/>
        </w:rPr>
        <w:t>）被投资方的设立目的。</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2</w:t>
      </w:r>
      <w:r w:rsidRPr="00AC0334">
        <w:rPr>
          <w:rFonts w:asciiTheme="minorEastAsia" w:eastAsiaTheme="minorEastAsia" w:hAnsiTheme="minorEastAsia" w:hint="eastAsia"/>
          <w:sz w:val="18"/>
          <w:szCs w:val="18"/>
        </w:rPr>
        <w:t>）被投资方的相关活动以及如何对相关活动</w:t>
      </w:r>
      <w:proofErr w:type="gramStart"/>
      <w:r w:rsidRPr="00AC0334">
        <w:rPr>
          <w:rFonts w:asciiTheme="minorEastAsia" w:eastAsiaTheme="minorEastAsia" w:hAnsiTheme="minorEastAsia" w:hint="eastAsia"/>
          <w:sz w:val="18"/>
          <w:szCs w:val="18"/>
        </w:rPr>
        <w:t>作出</w:t>
      </w:r>
      <w:proofErr w:type="gramEnd"/>
      <w:r w:rsidRPr="00AC0334">
        <w:rPr>
          <w:rFonts w:asciiTheme="minorEastAsia" w:eastAsiaTheme="minorEastAsia" w:hAnsiTheme="minorEastAsia" w:hint="eastAsia"/>
          <w:sz w:val="18"/>
          <w:szCs w:val="18"/>
        </w:rPr>
        <w:t>决策。</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3</w:t>
      </w:r>
      <w:r w:rsidRPr="00AC0334">
        <w:rPr>
          <w:rFonts w:asciiTheme="minorEastAsia" w:eastAsiaTheme="minorEastAsia" w:hAnsiTheme="minorEastAsia" w:hint="eastAsia"/>
          <w:sz w:val="18"/>
          <w:szCs w:val="18"/>
        </w:rPr>
        <w:t>）投资方享有的权利是否使其目前有能力主导被投资方的相关活动。</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4</w:t>
      </w:r>
      <w:r w:rsidRPr="00AC0334">
        <w:rPr>
          <w:rFonts w:asciiTheme="minorEastAsia" w:eastAsiaTheme="minorEastAsia" w:hAnsiTheme="minorEastAsia" w:hint="eastAsia"/>
          <w:sz w:val="18"/>
          <w:szCs w:val="18"/>
        </w:rPr>
        <w:t>）投资方是否通过参与被投资方的相关活动而享有可变回报。</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5</w:t>
      </w:r>
      <w:r w:rsidRPr="00AC0334">
        <w:rPr>
          <w:rFonts w:asciiTheme="minorEastAsia" w:eastAsiaTheme="minorEastAsia" w:hAnsiTheme="minorEastAsia" w:hint="eastAsia"/>
          <w:sz w:val="18"/>
          <w:szCs w:val="18"/>
        </w:rPr>
        <w:t>）投资方是否有能力运用对被投资方的权力影响其回报金额。</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w:t>
      </w:r>
      <w:r w:rsidRPr="00AC0334">
        <w:rPr>
          <w:rFonts w:asciiTheme="minorEastAsia" w:eastAsiaTheme="minorEastAsia" w:hAnsiTheme="minorEastAsia"/>
          <w:sz w:val="18"/>
          <w:szCs w:val="18"/>
        </w:rPr>
        <w:t>6</w:t>
      </w:r>
      <w:r w:rsidRPr="00AC0334">
        <w:rPr>
          <w:rFonts w:asciiTheme="minorEastAsia" w:eastAsiaTheme="minorEastAsia" w:hAnsiTheme="minorEastAsia" w:hint="eastAsia"/>
          <w:sz w:val="18"/>
          <w:szCs w:val="18"/>
        </w:rPr>
        <w:t>）投资方与其他方的关系。</w:t>
      </w:r>
    </w:p>
    <w:p w:rsidR="00BE788E" w:rsidRPr="00AC0334" w:rsidRDefault="00BE788E" w:rsidP="00AC0334">
      <w:pPr>
        <w:widowControl/>
        <w:numPr>
          <w:ilvl w:val="0"/>
          <w:numId w:val="6"/>
        </w:numPr>
        <w:spacing w:before="100" w:beforeAutospacing="1" w:after="100" w:afterAutospacing="1"/>
        <w:divId w:val="1891188415"/>
        <w:rPr>
          <w:rFonts w:asciiTheme="minorEastAsia" w:hAnsiTheme="minorEastAsia"/>
          <w:sz w:val="18"/>
          <w:szCs w:val="18"/>
        </w:rPr>
      </w:pPr>
      <w:r w:rsidRPr="00AC0334">
        <w:rPr>
          <w:rStyle w:val="a5"/>
          <w:rFonts w:asciiTheme="minorEastAsia" w:hAnsiTheme="minorEastAsia" w:hint="eastAsia"/>
          <w:b w:val="0"/>
          <w:sz w:val="18"/>
          <w:szCs w:val="18"/>
        </w:rPr>
        <w:t>合并范围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本公司合并财务报表的合并范围以控制为基础确定，所有子公司（包括本公司所控制的单独主体）均纳入合并财务报表。</w:t>
      </w:r>
    </w:p>
    <w:p w:rsidR="00BE788E" w:rsidRPr="00AC0334" w:rsidRDefault="00BE788E" w:rsidP="00AC0334">
      <w:pPr>
        <w:widowControl/>
        <w:numPr>
          <w:ilvl w:val="0"/>
          <w:numId w:val="7"/>
        </w:numPr>
        <w:spacing w:before="100" w:beforeAutospacing="1" w:after="100" w:afterAutospacing="1"/>
        <w:divId w:val="1891188415"/>
        <w:rPr>
          <w:rFonts w:asciiTheme="minorEastAsia" w:hAnsiTheme="minorEastAsia"/>
          <w:sz w:val="18"/>
          <w:szCs w:val="18"/>
        </w:rPr>
      </w:pPr>
      <w:r w:rsidRPr="00AC0334">
        <w:rPr>
          <w:rStyle w:val="a5"/>
          <w:rFonts w:asciiTheme="minorEastAsia" w:hAnsiTheme="minorEastAsia" w:hint="eastAsia"/>
          <w:b w:val="0"/>
          <w:sz w:val="18"/>
          <w:szCs w:val="18"/>
        </w:rPr>
        <w:t>合并程序</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合并财务报表时</w:t>
      </w:r>
      <w:proofErr w:type="gramStart"/>
      <w:r w:rsidRPr="00AC0334">
        <w:rPr>
          <w:rFonts w:asciiTheme="minorEastAsia" w:eastAsiaTheme="minorEastAsia" w:hAnsiTheme="minorEastAsia" w:hint="eastAsia"/>
          <w:sz w:val="18"/>
          <w:szCs w:val="18"/>
        </w:rPr>
        <w:t>抵销</w:t>
      </w:r>
      <w:proofErr w:type="gramEnd"/>
      <w:r w:rsidRPr="00AC0334">
        <w:rPr>
          <w:rFonts w:asciiTheme="minorEastAsia" w:eastAsiaTheme="minorEastAsia" w:hAnsiTheme="minorEastAsia" w:hint="eastAsia"/>
          <w:sz w:val="18"/>
          <w:szCs w:val="18"/>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sidRPr="00AC0334">
        <w:rPr>
          <w:rFonts w:asciiTheme="minorEastAsia" w:eastAsiaTheme="minorEastAsia" w:hAnsiTheme="minorEastAsia" w:hint="eastAsia"/>
          <w:sz w:val="18"/>
          <w:szCs w:val="18"/>
        </w:rPr>
        <w:t>冲减少</w:t>
      </w:r>
      <w:proofErr w:type="gramEnd"/>
      <w:r w:rsidRPr="00AC0334">
        <w:rPr>
          <w:rFonts w:asciiTheme="minorEastAsia" w:eastAsiaTheme="minorEastAsia" w:hAnsiTheme="minorEastAsia" w:hint="eastAsia"/>
          <w:sz w:val="18"/>
          <w:szCs w:val="18"/>
        </w:rPr>
        <w:t>数股东权益。</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对于同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下企业合并取得的子公司，以其资产、负债（包括最终控制</w:t>
      </w:r>
      <w:proofErr w:type="gramStart"/>
      <w:r w:rsidRPr="00AC0334">
        <w:rPr>
          <w:rFonts w:asciiTheme="minorEastAsia" w:eastAsiaTheme="minorEastAsia" w:hAnsiTheme="minorEastAsia" w:hint="eastAsia"/>
          <w:sz w:val="18"/>
          <w:szCs w:val="18"/>
        </w:rPr>
        <w:t>方收购</w:t>
      </w:r>
      <w:proofErr w:type="gramEnd"/>
      <w:r w:rsidRPr="00AC0334">
        <w:rPr>
          <w:rFonts w:asciiTheme="minorEastAsia" w:eastAsiaTheme="minorEastAsia" w:hAnsiTheme="minorEastAsia" w:hint="eastAsia"/>
          <w:sz w:val="18"/>
          <w:szCs w:val="18"/>
        </w:rPr>
        <w:t>该子公司而形成的商誉）在最终控制方财务报表中的账面价值为基础对其财务报表进行调整。</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对于非同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下企业合并取得的子公司，以购买日可辨认净资产公允价值为基础对其财务报表进行调整</w:t>
      </w:r>
    </w:p>
    <w:p w:rsidR="00BE788E" w:rsidRPr="00AC0334" w:rsidRDefault="00BE788E" w:rsidP="00AC0334">
      <w:pPr>
        <w:widowControl/>
        <w:numPr>
          <w:ilvl w:val="0"/>
          <w:numId w:val="8"/>
        </w:numPr>
        <w:divId w:val="1891188415"/>
        <w:rPr>
          <w:rFonts w:asciiTheme="minorEastAsia" w:hAnsiTheme="minorEastAsia" w:cs="Calibri"/>
          <w:szCs w:val="21"/>
        </w:rPr>
      </w:pPr>
      <w:r w:rsidRPr="00AC0334">
        <w:rPr>
          <w:rFonts w:asciiTheme="minorEastAsia" w:hAnsiTheme="minorEastAsia" w:cs="Calibri" w:hint="eastAsia"/>
          <w:sz w:val="18"/>
          <w:szCs w:val="18"/>
        </w:rPr>
        <w:t>增加子公司或业务</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在报告期内，若因同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下企业合并增加子公司或业务的，则调整合并资产负债表的期初数；将子公司或业务合并当期期初</w:t>
      </w:r>
      <w:proofErr w:type="gramStart"/>
      <w:r w:rsidRPr="00AC0334">
        <w:rPr>
          <w:rFonts w:asciiTheme="minorEastAsia" w:eastAsiaTheme="minorEastAsia" w:hAnsiTheme="minorEastAsia" w:hint="eastAsia"/>
          <w:sz w:val="18"/>
          <w:szCs w:val="18"/>
        </w:rPr>
        <w:t>至报告</w:t>
      </w:r>
      <w:proofErr w:type="gramEnd"/>
      <w:r w:rsidRPr="00AC0334">
        <w:rPr>
          <w:rFonts w:asciiTheme="minorEastAsia" w:eastAsiaTheme="minorEastAsia" w:hAnsiTheme="minorEastAsia" w:hint="eastAsia"/>
          <w:sz w:val="18"/>
          <w:szCs w:val="18"/>
        </w:rPr>
        <w:t>期末的收入、费用、利润纳入合并利润表；将子公司或业务合并当期期初</w:t>
      </w:r>
      <w:proofErr w:type="gramStart"/>
      <w:r w:rsidRPr="00AC0334">
        <w:rPr>
          <w:rFonts w:asciiTheme="minorEastAsia" w:eastAsiaTheme="minorEastAsia" w:hAnsiTheme="minorEastAsia" w:hint="eastAsia"/>
          <w:sz w:val="18"/>
          <w:szCs w:val="18"/>
        </w:rPr>
        <w:t>至报告</w:t>
      </w:r>
      <w:proofErr w:type="gramEnd"/>
      <w:r w:rsidRPr="00AC0334">
        <w:rPr>
          <w:rFonts w:asciiTheme="minorEastAsia" w:eastAsiaTheme="minorEastAsia" w:hAnsiTheme="minorEastAsia" w:hint="eastAsia"/>
          <w:sz w:val="18"/>
          <w:szCs w:val="18"/>
        </w:rPr>
        <w:t>期末的现金流量纳入合并现金流量表，同时对比较报表的相关项目进行调整，视同合并后的报告主体</w:t>
      </w:r>
      <w:proofErr w:type="gramStart"/>
      <w:r w:rsidRPr="00AC0334">
        <w:rPr>
          <w:rFonts w:asciiTheme="minorEastAsia" w:eastAsiaTheme="minorEastAsia" w:hAnsiTheme="minorEastAsia" w:hint="eastAsia"/>
          <w:sz w:val="18"/>
          <w:szCs w:val="18"/>
        </w:rPr>
        <w:t>自最终</w:t>
      </w:r>
      <w:proofErr w:type="gramEnd"/>
      <w:r w:rsidRPr="00AC0334">
        <w:rPr>
          <w:rFonts w:asciiTheme="minorEastAsia" w:eastAsiaTheme="minorEastAsia" w:hAnsiTheme="minorEastAsia" w:hint="eastAsia"/>
          <w:sz w:val="18"/>
          <w:szCs w:val="18"/>
        </w:rPr>
        <w:t>控制方开始控制时点起一直存在。</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因追加投资等原因能够对同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sidRPr="00AC0334">
        <w:rPr>
          <w:rFonts w:asciiTheme="minorEastAsia" w:eastAsiaTheme="minorEastAsia" w:hAnsiTheme="minorEastAsia" w:hint="eastAsia"/>
          <w:sz w:val="18"/>
          <w:szCs w:val="18"/>
        </w:rPr>
        <w:t>一控制之日孰晚日</w:t>
      </w:r>
      <w:proofErr w:type="gramEnd"/>
      <w:r w:rsidRPr="00AC0334">
        <w:rPr>
          <w:rFonts w:asciiTheme="minorEastAsia" w:eastAsiaTheme="minorEastAsia" w:hAnsiTheme="minorEastAsia" w:hint="eastAsia"/>
          <w:sz w:val="18"/>
          <w:szCs w:val="18"/>
        </w:rPr>
        <w:t>起至</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之间已确认有关损益、其他综合收益以及其他净资产变动，分别冲减比较报表期间的期初留存收益或当期损益。</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在报告期内，若因非同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BE788E" w:rsidRPr="00AC0334" w:rsidRDefault="00BE788E" w:rsidP="00AC0334">
      <w:pPr>
        <w:pStyle w:val="a3"/>
        <w:spacing w:before="5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因追加投资等原因能够对非同</w:t>
      </w:r>
      <w:proofErr w:type="gramStart"/>
      <w:r w:rsidRPr="00AC0334">
        <w:rPr>
          <w:rFonts w:asciiTheme="minorEastAsia" w:eastAsiaTheme="minorEastAsia" w:hAnsiTheme="minorEastAsia" w:hint="eastAsia"/>
          <w:sz w:val="18"/>
          <w:szCs w:val="18"/>
        </w:rPr>
        <w:t>一控制</w:t>
      </w:r>
      <w:proofErr w:type="gramEnd"/>
      <w:r w:rsidRPr="00AC0334">
        <w:rPr>
          <w:rFonts w:asciiTheme="minorEastAsia" w:eastAsiaTheme="minorEastAsia" w:hAnsiTheme="minorEastAsia" w:hint="eastAsia"/>
          <w:sz w:val="18"/>
          <w:szCs w:val="18"/>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BE788E" w:rsidRPr="00AC0334" w:rsidRDefault="00BE788E" w:rsidP="00AC0334">
      <w:pPr>
        <w:widowControl/>
        <w:numPr>
          <w:ilvl w:val="0"/>
          <w:numId w:val="9"/>
        </w:numPr>
        <w:divId w:val="1891188415"/>
        <w:rPr>
          <w:rFonts w:asciiTheme="minorEastAsia" w:hAnsiTheme="minorEastAsia" w:cs="Calibri"/>
          <w:szCs w:val="21"/>
        </w:rPr>
      </w:pPr>
      <w:r w:rsidRPr="00AC0334">
        <w:rPr>
          <w:rFonts w:asciiTheme="minorEastAsia" w:hAnsiTheme="minorEastAsia" w:cs="Calibri" w:hint="eastAsia"/>
          <w:sz w:val="18"/>
          <w:szCs w:val="18"/>
        </w:rPr>
        <w:t>处置子公司或业务</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1）一般处理方法</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在报告期内，本公司处置子公司或业务，则该子公司或业务期初至</w:t>
      </w:r>
      <w:proofErr w:type="gramStart"/>
      <w:r w:rsidRPr="00AC0334">
        <w:rPr>
          <w:rFonts w:asciiTheme="minorEastAsia" w:eastAsiaTheme="minorEastAsia" w:hAnsiTheme="minorEastAsia" w:hint="eastAsia"/>
          <w:sz w:val="18"/>
          <w:szCs w:val="18"/>
        </w:rPr>
        <w:t>处置日</w:t>
      </w:r>
      <w:proofErr w:type="gramEnd"/>
      <w:r w:rsidRPr="00AC0334">
        <w:rPr>
          <w:rFonts w:asciiTheme="minorEastAsia" w:eastAsiaTheme="minorEastAsia" w:hAnsiTheme="minorEastAsia" w:hint="eastAsia"/>
          <w:sz w:val="18"/>
          <w:szCs w:val="18"/>
        </w:rPr>
        <w:t>的收入、费用、利润纳入合并利润表；该子公司或业务期初至</w:t>
      </w:r>
      <w:proofErr w:type="gramStart"/>
      <w:r w:rsidRPr="00AC0334">
        <w:rPr>
          <w:rFonts w:asciiTheme="minorEastAsia" w:eastAsiaTheme="minorEastAsia" w:hAnsiTheme="minorEastAsia" w:hint="eastAsia"/>
          <w:sz w:val="18"/>
          <w:szCs w:val="18"/>
        </w:rPr>
        <w:t>处置日</w:t>
      </w:r>
      <w:proofErr w:type="gramEnd"/>
      <w:r w:rsidRPr="00AC0334">
        <w:rPr>
          <w:rFonts w:asciiTheme="minorEastAsia" w:eastAsiaTheme="minorEastAsia" w:hAnsiTheme="minorEastAsia" w:hint="eastAsia"/>
          <w:sz w:val="18"/>
          <w:szCs w:val="18"/>
        </w:rPr>
        <w:t>的现金流量纳入合并现金流量表。</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2）分步处置子公司</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A.这些交易是同时或者在考虑了彼此影响的情况下订立的；</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B.这些交易整体才能达成一项完整的商业结果；</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C.一项交易的发生取决于其他至少一项交易的发生；</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D.一项交易单独看是不经济的，但是和其他交易一并考虑时是经济的。</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BE788E" w:rsidRPr="00AC0334" w:rsidRDefault="00BE788E" w:rsidP="00AC0334">
      <w:pPr>
        <w:widowControl/>
        <w:numPr>
          <w:ilvl w:val="0"/>
          <w:numId w:val="10"/>
        </w:numPr>
        <w:divId w:val="1891188415"/>
        <w:rPr>
          <w:rFonts w:asciiTheme="minorEastAsia" w:hAnsiTheme="minorEastAsia" w:cs="Calibri"/>
          <w:szCs w:val="21"/>
        </w:rPr>
      </w:pPr>
      <w:r w:rsidRPr="00AC0334">
        <w:rPr>
          <w:rFonts w:asciiTheme="minorEastAsia" w:hAnsiTheme="minorEastAsia" w:cs="Calibri" w:hint="eastAsia"/>
          <w:sz w:val="18"/>
          <w:szCs w:val="18"/>
        </w:rPr>
        <w:t>购买子公司少数股权</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rPr>
      </w:pPr>
      <w:r w:rsidRPr="00AC0334">
        <w:rPr>
          <w:rFonts w:asciiTheme="minorEastAsia" w:eastAsiaTheme="minorEastAsia" w:hAnsiTheme="minorEastAsia"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BE788E" w:rsidRPr="00AC0334" w:rsidRDefault="00BE788E" w:rsidP="00AC0334">
      <w:pPr>
        <w:widowControl/>
        <w:numPr>
          <w:ilvl w:val="0"/>
          <w:numId w:val="11"/>
        </w:numPr>
        <w:divId w:val="1891188415"/>
        <w:rPr>
          <w:rFonts w:asciiTheme="minorEastAsia" w:hAnsiTheme="minorEastAsia" w:cs="Calibri"/>
          <w:szCs w:val="21"/>
        </w:rPr>
      </w:pPr>
      <w:r w:rsidRPr="00AC0334">
        <w:rPr>
          <w:rFonts w:asciiTheme="minorEastAsia" w:hAnsiTheme="minorEastAsia" w:cs="Calibri" w:hint="eastAsia"/>
          <w:sz w:val="18"/>
          <w:szCs w:val="18"/>
        </w:rPr>
        <w:t>不丧失控制权的情况下部分处置对子公司的股权投资</w:t>
      </w:r>
    </w:p>
    <w:p w:rsidR="00BE788E" w:rsidRPr="00AC0334" w:rsidRDefault="00BE788E" w:rsidP="00AC0334">
      <w:pPr>
        <w:pStyle w:val="a3"/>
        <w:spacing w:before="0" w:beforeAutospacing="0" w:after="0" w:afterAutospacing="0"/>
        <w:ind w:firstLine="420"/>
        <w:jc w:val="both"/>
        <w:divId w:val="1891188415"/>
        <w:rPr>
          <w:rFonts w:asciiTheme="minorEastAsia" w:eastAsiaTheme="minorEastAsia" w:hAnsiTheme="minorEastAsia"/>
          <w:sz w:val="18"/>
          <w:szCs w:val="18"/>
        </w:rPr>
      </w:pPr>
      <w:r w:rsidRPr="00AC0334">
        <w:rPr>
          <w:rFonts w:asciiTheme="minorEastAsia" w:eastAsiaTheme="minorEastAsia" w:hAnsiTheme="minorEastAsia"/>
          <w:sz w:val="18"/>
          <w:szCs w:val="18"/>
        </w:rPr>
        <w:t>   </w:t>
      </w:r>
      <w:r w:rsidRPr="00AC0334">
        <w:rPr>
          <w:rFonts w:asciiTheme="minorEastAsia" w:eastAsiaTheme="minorEastAsia" w:hAnsiTheme="minorEastAsia" w:hint="eastAsia"/>
          <w:sz w:val="18"/>
          <w:szCs w:val="18"/>
        </w:rPr>
        <w:t>在不丧失控制权的情况下因部分处置对子公司的长期股权投资而取得的处置价款与处置长期股权投资相对应享有子公司自购买日或</w:t>
      </w:r>
      <w:proofErr w:type="gramStart"/>
      <w:r w:rsidRPr="00AC0334">
        <w:rPr>
          <w:rFonts w:asciiTheme="minorEastAsia" w:eastAsiaTheme="minorEastAsia" w:hAnsiTheme="minorEastAsia" w:hint="eastAsia"/>
          <w:sz w:val="18"/>
          <w:szCs w:val="18"/>
        </w:rPr>
        <w:t>合并日</w:t>
      </w:r>
      <w:proofErr w:type="gramEnd"/>
      <w:r w:rsidRPr="00AC0334">
        <w:rPr>
          <w:rFonts w:asciiTheme="minorEastAsia" w:eastAsiaTheme="minorEastAsia" w:hAnsiTheme="minorEastAsia" w:hint="eastAsia"/>
          <w:sz w:val="18"/>
          <w:szCs w:val="18"/>
        </w:rPr>
        <w:t>开始持续计算的净资产份额之间的差额，调整合并资产负债表中的资本公积中的股本溢价，资本公积中的股本溢价不足冲减的，调整留存收益。</w:t>
      </w:r>
    </w:p>
    <w:p w:rsidR="00037019" w:rsidRDefault="00BE788E">
      <w:pPr>
        <w:pStyle w:val="3"/>
        <w:spacing w:line="280" w:lineRule="exact"/>
        <w:jc w:val="left"/>
        <w:rPr>
          <w:rFonts w:ascii="宋体" w:hAnsi="宋体" w:cs="宋体"/>
          <w:b/>
          <w:bCs/>
        </w:rPr>
      </w:pPr>
      <w:bookmarkStart w:id="125" w:name="_Toc989014"/>
      <w:r>
        <w:rPr>
          <w:rFonts w:ascii="宋体" w:hAnsi="宋体" w:cs="宋体"/>
          <w:b/>
          <w:bCs/>
        </w:rPr>
        <w:t>8、合营安排分类及共同经营会计处理方法</w:t>
      </w:r>
      <w:bookmarkEnd w:id="125"/>
    </w:p>
    <w:p w:rsidR="00BE788E" w:rsidRPr="00AC0334" w:rsidRDefault="00BE788E" w:rsidP="00AC0334">
      <w:pPr>
        <w:widowControl/>
        <w:numPr>
          <w:ilvl w:val="0"/>
          <w:numId w:val="12"/>
        </w:numPr>
        <w:spacing w:before="100" w:beforeAutospacing="1" w:after="100" w:afterAutospacing="1"/>
        <w:divId w:val="39596949"/>
        <w:rPr>
          <w:rFonts w:asciiTheme="minorEastAsia" w:hAnsiTheme="minorEastAsia"/>
          <w:sz w:val="18"/>
          <w:szCs w:val="18"/>
        </w:rPr>
      </w:pPr>
      <w:r w:rsidRPr="00AC0334">
        <w:rPr>
          <w:rStyle w:val="a5"/>
          <w:rFonts w:asciiTheme="minorEastAsia" w:hAnsiTheme="minorEastAsia" w:hint="eastAsia"/>
          <w:b w:val="0"/>
          <w:sz w:val="18"/>
          <w:szCs w:val="18"/>
        </w:rPr>
        <w:t>合营安排的分类</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本公司根据合营安排的结构、法律形式以及合营安排中约定的条款、其他相关事实和情况等因素，将合营安排分为共同经营和合营企业。</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未通过单独主体达成的合营安排，划分为共同经营；通过单独主体达成的合营安排，通常划分为合营企业；但有确凿证据表明满足下列任</w:t>
      </w:r>
      <w:proofErr w:type="gramStart"/>
      <w:r w:rsidRPr="00AC0334">
        <w:rPr>
          <w:rFonts w:asciiTheme="minorEastAsia" w:eastAsiaTheme="minorEastAsia" w:hAnsiTheme="minorEastAsia" w:hint="eastAsia"/>
          <w:sz w:val="18"/>
          <w:szCs w:val="18"/>
        </w:rPr>
        <w:t>一</w:t>
      </w:r>
      <w:proofErr w:type="gramEnd"/>
      <w:r w:rsidRPr="00AC0334">
        <w:rPr>
          <w:rFonts w:asciiTheme="minorEastAsia" w:eastAsiaTheme="minorEastAsia" w:hAnsiTheme="minorEastAsia" w:hint="eastAsia"/>
          <w:sz w:val="18"/>
          <w:szCs w:val="18"/>
        </w:rPr>
        <w:t>条件并且符合相关法律法规规定的合营安排划分为共同经营：</w:t>
      </w:r>
    </w:p>
    <w:p w:rsidR="00BE788E" w:rsidRPr="00AC0334" w:rsidRDefault="00BE788E" w:rsidP="00AC0334">
      <w:pPr>
        <w:widowControl/>
        <w:numPr>
          <w:ilvl w:val="1"/>
          <w:numId w:val="13"/>
        </w:numPr>
        <w:divId w:val="39596949"/>
        <w:rPr>
          <w:rFonts w:asciiTheme="minorEastAsia" w:hAnsiTheme="minorEastAsia" w:cs="Calibri"/>
          <w:szCs w:val="21"/>
        </w:rPr>
      </w:pPr>
      <w:r w:rsidRPr="00AC0334">
        <w:rPr>
          <w:rFonts w:asciiTheme="minorEastAsia" w:hAnsiTheme="minorEastAsia" w:cs="Calibri" w:hint="eastAsia"/>
          <w:sz w:val="18"/>
          <w:szCs w:val="18"/>
        </w:rPr>
        <w:t>合营安排的法律形式表明，合营方对该安排中的相关资产和负债分别享有权利和承担义务。</w:t>
      </w:r>
    </w:p>
    <w:p w:rsidR="00BE788E" w:rsidRPr="00AC0334" w:rsidRDefault="00BE788E" w:rsidP="00AC0334">
      <w:pPr>
        <w:widowControl/>
        <w:numPr>
          <w:ilvl w:val="1"/>
          <w:numId w:val="13"/>
        </w:numPr>
        <w:divId w:val="39596949"/>
        <w:rPr>
          <w:rFonts w:asciiTheme="minorEastAsia" w:hAnsiTheme="minorEastAsia" w:cs="Calibri"/>
          <w:szCs w:val="21"/>
        </w:rPr>
      </w:pPr>
      <w:r w:rsidRPr="00AC0334">
        <w:rPr>
          <w:rFonts w:asciiTheme="minorEastAsia" w:hAnsiTheme="minorEastAsia" w:cs="Calibri" w:hint="eastAsia"/>
          <w:sz w:val="18"/>
          <w:szCs w:val="18"/>
        </w:rPr>
        <w:t>合营安排的合同条款约定，合营方对该安排中的相关资产和负债分别享有权利和承担义务。</w:t>
      </w:r>
    </w:p>
    <w:p w:rsidR="00BE788E" w:rsidRPr="00AC0334" w:rsidRDefault="00BE788E" w:rsidP="00AC0334">
      <w:pPr>
        <w:widowControl/>
        <w:numPr>
          <w:ilvl w:val="1"/>
          <w:numId w:val="13"/>
        </w:numPr>
        <w:divId w:val="39596949"/>
        <w:rPr>
          <w:rFonts w:asciiTheme="minorEastAsia" w:hAnsiTheme="minorEastAsia" w:cs="Calibri"/>
          <w:szCs w:val="21"/>
        </w:rPr>
      </w:pPr>
      <w:r w:rsidRPr="00AC0334">
        <w:rPr>
          <w:rFonts w:asciiTheme="minorEastAsia" w:hAnsiTheme="minorEastAsia" w:cs="Calibri" w:hint="eastAsia"/>
          <w:sz w:val="18"/>
          <w:szCs w:val="18"/>
        </w:rPr>
        <w:t>其他相关事实和情况表明，合营方对该安排中的相关资产和负债分别享有权利和承担义务，如合营方享有与合营安排相关的几乎所有产出，并且该安排中负债的清偿持续依赖于合营方的支持。</w:t>
      </w:r>
    </w:p>
    <w:p w:rsidR="00BE788E" w:rsidRPr="00AC0334" w:rsidRDefault="00BE788E" w:rsidP="00AC0334">
      <w:pPr>
        <w:widowControl/>
        <w:numPr>
          <w:ilvl w:val="0"/>
          <w:numId w:val="14"/>
        </w:numPr>
        <w:spacing w:before="100" w:beforeAutospacing="1" w:after="100" w:afterAutospacing="1"/>
        <w:divId w:val="39596949"/>
        <w:rPr>
          <w:rFonts w:asciiTheme="minorEastAsia" w:hAnsiTheme="minorEastAsia" w:cs="宋体"/>
          <w:sz w:val="18"/>
          <w:szCs w:val="18"/>
        </w:rPr>
      </w:pPr>
      <w:r w:rsidRPr="00AC0334">
        <w:rPr>
          <w:rStyle w:val="a5"/>
          <w:rFonts w:asciiTheme="minorEastAsia" w:hAnsiTheme="minorEastAsia" w:hint="eastAsia"/>
          <w:b w:val="0"/>
          <w:sz w:val="18"/>
          <w:szCs w:val="18"/>
        </w:rPr>
        <w:t>共同经营会计处理方法</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本公司确认共同经营中利益份额中与本公司相关的下列项目，并按照相关企业会计准则的规定进行会计处理：</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确认单独所持有的资产，以及按其份额确认共同持有的资产；</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确认单独所承担的负债，以及按其份额确认共同承担的负债；</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确认出售其享有的共同经营产出份额所产生的收入；</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按其份额确认共同经营因出售产出所产生的收入；</w:t>
      </w:r>
    </w:p>
    <w:p w:rsidR="00BE788E" w:rsidRPr="00AC0334" w:rsidRDefault="00BE788E" w:rsidP="00AC0334">
      <w:pPr>
        <w:widowControl/>
        <w:numPr>
          <w:ilvl w:val="1"/>
          <w:numId w:val="15"/>
        </w:numPr>
        <w:divId w:val="39596949"/>
        <w:rPr>
          <w:rFonts w:asciiTheme="minorEastAsia" w:hAnsiTheme="minorEastAsia" w:cs="Calibri"/>
          <w:szCs w:val="21"/>
        </w:rPr>
      </w:pPr>
      <w:r w:rsidRPr="00AC0334">
        <w:rPr>
          <w:rFonts w:asciiTheme="minorEastAsia" w:hAnsiTheme="minorEastAsia" w:cs="Calibri" w:hint="eastAsia"/>
          <w:sz w:val="18"/>
          <w:szCs w:val="18"/>
        </w:rPr>
        <w:t>确认单独所发生的费用，以及按其份额确认共同经营发生的费用。</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本公司向共同经营投出或出售资产等（该资产构成业务的除外），在该资产等由共同经营出售给第三方之前，仅</w:t>
      </w:r>
      <w:proofErr w:type="gramStart"/>
      <w:r w:rsidRPr="00AC0334">
        <w:rPr>
          <w:rFonts w:asciiTheme="minorEastAsia" w:eastAsiaTheme="minorEastAsia" w:hAnsiTheme="minorEastAsia" w:hint="eastAsia"/>
          <w:sz w:val="18"/>
          <w:szCs w:val="18"/>
        </w:rPr>
        <w:t>确认因</w:t>
      </w:r>
      <w:proofErr w:type="gramEnd"/>
      <w:r w:rsidRPr="00AC0334">
        <w:rPr>
          <w:rFonts w:asciiTheme="minorEastAsia" w:eastAsiaTheme="minorEastAsia" w:hAnsiTheme="minorEastAsia" w:hint="eastAsia"/>
          <w:sz w:val="18"/>
          <w:szCs w:val="18"/>
        </w:rPr>
        <w:t>该交易产生的损益中归属于共同经营其他参与方的部分。投出或出售的资产发生符合《企业会计准则第</w:t>
      </w:r>
      <w:r w:rsidRPr="00AC0334">
        <w:rPr>
          <w:rFonts w:asciiTheme="minorEastAsia" w:eastAsiaTheme="minorEastAsia" w:hAnsiTheme="minorEastAsia" w:cs="Times New Roman"/>
          <w:sz w:val="18"/>
          <w:szCs w:val="18"/>
        </w:rPr>
        <w:t>8</w:t>
      </w:r>
      <w:r w:rsidRPr="00AC0334">
        <w:rPr>
          <w:rFonts w:asciiTheme="minorEastAsia" w:eastAsiaTheme="minorEastAsia" w:hAnsiTheme="minorEastAsia" w:hint="eastAsia"/>
          <w:sz w:val="18"/>
          <w:szCs w:val="18"/>
        </w:rPr>
        <w:t>号——资产减值》等规定的资产减值损失的，本公司全额确认该损失。</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lastRenderedPageBreak/>
        <w:t>本公司</w:t>
      </w:r>
      <w:proofErr w:type="gramStart"/>
      <w:r w:rsidRPr="00AC0334">
        <w:rPr>
          <w:rFonts w:asciiTheme="minorEastAsia" w:eastAsiaTheme="minorEastAsia" w:hAnsiTheme="minorEastAsia" w:hint="eastAsia"/>
          <w:sz w:val="18"/>
          <w:szCs w:val="18"/>
        </w:rPr>
        <w:t>自共同</w:t>
      </w:r>
      <w:proofErr w:type="gramEnd"/>
      <w:r w:rsidRPr="00AC0334">
        <w:rPr>
          <w:rFonts w:asciiTheme="minorEastAsia" w:eastAsiaTheme="minorEastAsia" w:hAnsiTheme="minorEastAsia" w:hint="eastAsia"/>
          <w:sz w:val="18"/>
          <w:szCs w:val="18"/>
        </w:rPr>
        <w:t>经营购买资产等（该资产构成业务的除外），在将该资产等出售给第三方之前，仅</w:t>
      </w:r>
      <w:proofErr w:type="gramStart"/>
      <w:r w:rsidRPr="00AC0334">
        <w:rPr>
          <w:rFonts w:asciiTheme="minorEastAsia" w:eastAsiaTheme="minorEastAsia" w:hAnsiTheme="minorEastAsia" w:hint="eastAsia"/>
          <w:sz w:val="18"/>
          <w:szCs w:val="18"/>
        </w:rPr>
        <w:t>确认因</w:t>
      </w:r>
      <w:proofErr w:type="gramEnd"/>
      <w:r w:rsidRPr="00AC0334">
        <w:rPr>
          <w:rFonts w:asciiTheme="minorEastAsia" w:eastAsiaTheme="minorEastAsia" w:hAnsiTheme="minorEastAsia" w:hint="eastAsia"/>
          <w:sz w:val="18"/>
          <w:szCs w:val="18"/>
        </w:rPr>
        <w:t>该交易产生的损益中归属于共同经营其他参与方的部分。购入的资产发生符合《企业会计准则第</w:t>
      </w:r>
      <w:r w:rsidRPr="00AC0334">
        <w:rPr>
          <w:rFonts w:asciiTheme="minorEastAsia" w:eastAsiaTheme="minorEastAsia" w:hAnsiTheme="minorEastAsia" w:cs="Times New Roman"/>
          <w:sz w:val="18"/>
          <w:szCs w:val="18"/>
        </w:rPr>
        <w:t>8</w:t>
      </w:r>
      <w:r w:rsidRPr="00AC0334">
        <w:rPr>
          <w:rFonts w:asciiTheme="minorEastAsia" w:eastAsiaTheme="minorEastAsia" w:hAnsiTheme="minorEastAsia" w:hint="eastAsia"/>
          <w:sz w:val="18"/>
          <w:szCs w:val="18"/>
        </w:rPr>
        <w:t>号——资产减值》等规定的资产减值损失的，本公司按承担的份额确认该部分损失。</w:t>
      </w:r>
    </w:p>
    <w:p w:rsidR="00BE788E" w:rsidRPr="00AC0334" w:rsidRDefault="00BE788E" w:rsidP="00AC0334">
      <w:pPr>
        <w:pStyle w:val="a3"/>
        <w:spacing w:before="0" w:beforeAutospacing="0" w:after="0" w:afterAutospacing="0"/>
        <w:ind w:firstLine="420"/>
        <w:jc w:val="both"/>
        <w:divId w:val="39596949"/>
        <w:rPr>
          <w:rFonts w:asciiTheme="minorEastAsia" w:eastAsiaTheme="minorEastAsia" w:hAnsiTheme="minorEastAsia"/>
        </w:rPr>
      </w:pPr>
      <w:r w:rsidRPr="00AC0334">
        <w:rPr>
          <w:rFonts w:asciiTheme="minorEastAsia" w:eastAsiaTheme="minorEastAsia" w:hAnsiTheme="minorEastAsia" w:hint="eastAsia"/>
          <w:sz w:val="18"/>
          <w:szCs w:val="18"/>
        </w:rPr>
        <w:t>本公司对共同经营不享有共同控制，如果本公司享有</w:t>
      </w:r>
      <w:proofErr w:type="gramStart"/>
      <w:r w:rsidRPr="00AC0334">
        <w:rPr>
          <w:rFonts w:asciiTheme="minorEastAsia" w:eastAsiaTheme="minorEastAsia" w:hAnsiTheme="minorEastAsia" w:hint="eastAsia"/>
          <w:sz w:val="18"/>
          <w:szCs w:val="18"/>
        </w:rPr>
        <w:t>该共同</w:t>
      </w:r>
      <w:proofErr w:type="gramEnd"/>
      <w:r w:rsidRPr="00AC0334">
        <w:rPr>
          <w:rFonts w:asciiTheme="minorEastAsia" w:eastAsiaTheme="minorEastAsia" w:hAnsiTheme="minorEastAsia" w:hint="eastAsia"/>
          <w:sz w:val="18"/>
          <w:szCs w:val="18"/>
        </w:rPr>
        <w:t>经营相关资产且承担</w:t>
      </w:r>
      <w:proofErr w:type="gramStart"/>
      <w:r w:rsidRPr="00AC0334">
        <w:rPr>
          <w:rFonts w:asciiTheme="minorEastAsia" w:eastAsiaTheme="minorEastAsia" w:hAnsiTheme="minorEastAsia" w:hint="eastAsia"/>
          <w:sz w:val="18"/>
          <w:szCs w:val="18"/>
        </w:rPr>
        <w:t>该共同</w:t>
      </w:r>
      <w:proofErr w:type="gramEnd"/>
      <w:r w:rsidRPr="00AC0334">
        <w:rPr>
          <w:rFonts w:asciiTheme="minorEastAsia" w:eastAsiaTheme="minorEastAsia" w:hAnsiTheme="minorEastAsia" w:hint="eastAsia"/>
          <w:sz w:val="18"/>
          <w:szCs w:val="18"/>
        </w:rPr>
        <w:t>经营相关负债的，仍按上述原则进行会计处理，否则，应当按照相关企业会计准则的规定进行会计处理。</w:t>
      </w:r>
    </w:p>
    <w:p w:rsidR="00037019" w:rsidRDefault="00BE788E">
      <w:pPr>
        <w:pStyle w:val="3"/>
        <w:spacing w:line="280" w:lineRule="exact"/>
        <w:jc w:val="left"/>
        <w:rPr>
          <w:rFonts w:ascii="宋体" w:hAnsi="宋体" w:cs="宋体"/>
          <w:b/>
          <w:bCs/>
        </w:rPr>
      </w:pPr>
      <w:bookmarkStart w:id="126" w:name="_Toc989015"/>
      <w:r>
        <w:rPr>
          <w:rFonts w:ascii="宋体" w:hAnsi="宋体" w:cs="宋体"/>
          <w:b/>
          <w:bCs/>
        </w:rPr>
        <w:t>9、现金及现金等价物的确定标准</w:t>
      </w:r>
      <w:bookmarkEnd w:id="126"/>
    </w:p>
    <w:p w:rsidR="00BE788E" w:rsidRPr="00AC0334" w:rsidRDefault="00BE788E" w:rsidP="00AC0334">
      <w:pPr>
        <w:pStyle w:val="a3"/>
        <w:spacing w:before="0" w:beforeAutospacing="0" w:after="0" w:afterAutospacing="0"/>
        <w:ind w:firstLine="420"/>
        <w:jc w:val="both"/>
        <w:divId w:val="1673986698"/>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037019" w:rsidRDefault="00BE788E">
      <w:pPr>
        <w:pStyle w:val="3"/>
        <w:spacing w:line="280" w:lineRule="exact"/>
        <w:jc w:val="left"/>
        <w:rPr>
          <w:rFonts w:ascii="宋体" w:hAnsi="宋体" w:cs="宋体"/>
          <w:b/>
          <w:bCs/>
        </w:rPr>
      </w:pPr>
      <w:bookmarkStart w:id="127" w:name="_Toc989016"/>
      <w:r>
        <w:rPr>
          <w:rFonts w:ascii="宋体" w:hAnsi="宋体" w:cs="宋体"/>
          <w:b/>
          <w:bCs/>
        </w:rPr>
        <w:t>10、外币业务和外币报表折算</w:t>
      </w:r>
      <w:bookmarkEnd w:id="127"/>
    </w:p>
    <w:p w:rsidR="00BE788E" w:rsidRDefault="00BE788E">
      <w:pPr>
        <w:widowControl/>
        <w:numPr>
          <w:ilvl w:val="0"/>
          <w:numId w:val="16"/>
        </w:numPr>
        <w:spacing w:before="100" w:beforeAutospacing="1" w:after="100" w:afterAutospacing="1"/>
        <w:divId w:val="265505386"/>
        <w:rPr>
          <w:sz w:val="18"/>
          <w:szCs w:val="18"/>
        </w:rPr>
      </w:pPr>
      <w:r>
        <w:rPr>
          <w:rFonts w:ascii="Times New Roman" w:hAnsi="Times New Roman" w:cs="Times New Roman"/>
          <w:sz w:val="18"/>
          <w:szCs w:val="18"/>
        </w:rPr>
        <w:t> </w:t>
      </w:r>
      <w:r>
        <w:rPr>
          <w:rFonts w:hint="eastAsia"/>
          <w:sz w:val="18"/>
          <w:szCs w:val="18"/>
        </w:rPr>
        <w:t>外币业务</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外币业务交易在初始确认时，采用交易发生日的即期汇率作为折算汇率折合成人民币记账。</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以公允价值计量的外币非货币性项目，采用公允价值确定日的即期汇率折算，折算后的记账本位</w:t>
      </w:r>
      <w:proofErr w:type="gramStart"/>
      <w:r w:rsidRPr="00AC0334">
        <w:rPr>
          <w:rFonts w:asciiTheme="minorEastAsia" w:eastAsiaTheme="minorEastAsia" w:hAnsiTheme="minorEastAsia" w:hint="eastAsia"/>
          <w:sz w:val="18"/>
          <w:szCs w:val="18"/>
        </w:rPr>
        <w:t>币金额</w:t>
      </w:r>
      <w:proofErr w:type="gramEnd"/>
      <w:r w:rsidRPr="00AC0334">
        <w:rPr>
          <w:rFonts w:asciiTheme="minorEastAsia" w:eastAsiaTheme="minorEastAsia" w:hAnsiTheme="minorEastAsia" w:hint="eastAsia"/>
          <w:sz w:val="18"/>
          <w:szCs w:val="18"/>
        </w:rPr>
        <w:t>与原记账本位</w:t>
      </w:r>
      <w:proofErr w:type="gramStart"/>
      <w:r w:rsidRPr="00AC0334">
        <w:rPr>
          <w:rFonts w:asciiTheme="minorEastAsia" w:eastAsiaTheme="minorEastAsia" w:hAnsiTheme="minorEastAsia" w:hint="eastAsia"/>
          <w:sz w:val="18"/>
          <w:szCs w:val="18"/>
        </w:rPr>
        <w:t>币金额</w:t>
      </w:r>
      <w:proofErr w:type="gramEnd"/>
      <w:r w:rsidRPr="00AC0334">
        <w:rPr>
          <w:rFonts w:asciiTheme="minorEastAsia" w:eastAsiaTheme="minorEastAsia" w:hAnsiTheme="minorEastAsia" w:hint="eastAsia"/>
          <w:sz w:val="18"/>
          <w:szCs w:val="18"/>
        </w:rPr>
        <w:t>的差额，作为公允价值变动</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含汇率变动</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处理，计入当期损益或确认为其他综合收益。</w:t>
      </w:r>
    </w:p>
    <w:p w:rsidR="00BE788E" w:rsidRDefault="00BE788E">
      <w:pPr>
        <w:widowControl/>
        <w:numPr>
          <w:ilvl w:val="0"/>
          <w:numId w:val="17"/>
        </w:numPr>
        <w:spacing w:before="100" w:beforeAutospacing="1" w:after="100" w:afterAutospacing="1"/>
        <w:divId w:val="265505386"/>
        <w:rPr>
          <w:sz w:val="18"/>
          <w:szCs w:val="18"/>
        </w:rPr>
      </w:pPr>
      <w:r>
        <w:rPr>
          <w:rFonts w:ascii="Times New Roman" w:hAnsi="Times New Roman" w:cs="Times New Roman"/>
          <w:sz w:val="18"/>
          <w:szCs w:val="18"/>
        </w:rPr>
        <w:t xml:space="preserve">  </w:t>
      </w:r>
      <w:r>
        <w:rPr>
          <w:rFonts w:hint="eastAsia"/>
          <w:sz w:val="18"/>
          <w:szCs w:val="18"/>
        </w:rPr>
        <w:t>外币财务报表的折算</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资产负债表中的资产和负债项目，采用资产负债表日的即期汇率折算；所有者权益项目除</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未分配利润</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项目外，其他项目采用发生时的即期汇率折算。利润表中的收入和费用项目，采用加权平均汇率折算。按照上述折算产生的外币财务报表折算差额计入其他综合收益。</w:t>
      </w:r>
    </w:p>
    <w:p w:rsidR="00BE788E" w:rsidRPr="00AC0334" w:rsidRDefault="00BE788E" w:rsidP="00AC0334">
      <w:pPr>
        <w:pStyle w:val="a3"/>
        <w:spacing w:before="0" w:beforeAutospacing="0" w:after="0" w:afterAutospacing="0"/>
        <w:ind w:firstLine="420"/>
        <w:jc w:val="both"/>
        <w:divId w:val="265505386"/>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037019" w:rsidRDefault="00BE788E">
      <w:pPr>
        <w:pStyle w:val="3"/>
        <w:spacing w:line="280" w:lineRule="exact"/>
        <w:jc w:val="left"/>
        <w:rPr>
          <w:rFonts w:ascii="宋体" w:hAnsi="宋体" w:cs="宋体"/>
          <w:b/>
          <w:bCs/>
        </w:rPr>
      </w:pPr>
      <w:bookmarkStart w:id="128" w:name="_Toc989017"/>
      <w:r>
        <w:rPr>
          <w:rFonts w:ascii="宋体" w:hAnsi="宋体" w:cs="宋体"/>
          <w:b/>
          <w:bCs/>
        </w:rPr>
        <w:t>11、金融工具</w:t>
      </w:r>
      <w:bookmarkEnd w:id="128"/>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本公司在成为金融工具合同的一方时确认一项金融资产或金融负债。</w:t>
      </w:r>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实际利率法是指计算金融资产或金融负债的摊</w:t>
      </w:r>
      <w:proofErr w:type="gramStart"/>
      <w:r w:rsidRPr="00AC0334">
        <w:rPr>
          <w:rFonts w:asciiTheme="minorEastAsia" w:eastAsiaTheme="minorEastAsia" w:hAnsiTheme="minorEastAsia" w:hint="eastAsia"/>
          <w:sz w:val="18"/>
          <w:szCs w:val="18"/>
        </w:rPr>
        <w:t>余成本</w:t>
      </w:r>
      <w:proofErr w:type="gramEnd"/>
      <w:r w:rsidRPr="00AC0334">
        <w:rPr>
          <w:rFonts w:asciiTheme="minorEastAsia" w:eastAsiaTheme="minorEastAsia" w:hAnsiTheme="minorEastAsia" w:hint="eastAsia"/>
          <w:sz w:val="18"/>
          <w:szCs w:val="18"/>
        </w:rPr>
        <w:t>以及将利息收入或利息费用分摊计入各会计期间的方法。</w:t>
      </w:r>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实际利率，是指将金融资产或金融负债在预计存续期的估计未来现金流量，折现为该金融资产账面余额或该金融负债摊</w:t>
      </w:r>
      <w:proofErr w:type="gramStart"/>
      <w:r w:rsidRPr="00AC0334">
        <w:rPr>
          <w:rFonts w:asciiTheme="minorEastAsia" w:eastAsiaTheme="minorEastAsia" w:hAnsiTheme="minorEastAsia" w:hint="eastAsia"/>
          <w:sz w:val="18"/>
          <w:szCs w:val="18"/>
        </w:rPr>
        <w:t>余成本</w:t>
      </w:r>
      <w:proofErr w:type="gramEnd"/>
      <w:r w:rsidRPr="00AC0334">
        <w:rPr>
          <w:rFonts w:asciiTheme="minorEastAsia" w:eastAsiaTheme="minorEastAsia" w:hAnsiTheme="minorEastAsia" w:hint="eastAsia"/>
          <w:sz w:val="18"/>
          <w:szCs w:val="18"/>
        </w:rPr>
        <w:t>所使用的利率。在确定实际利率时，在考虑金融资产或金融负债所有合同条款</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如提前还款、展期、看涨期权或其他类似期权等</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的基础上估计预期现金流量，但不考虑预期信用损失。</w:t>
      </w:r>
    </w:p>
    <w:p w:rsidR="00BE788E" w:rsidRPr="00AC0334" w:rsidRDefault="00BE788E" w:rsidP="00AC0334">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金融资产或金融负债的摊</w:t>
      </w:r>
      <w:proofErr w:type="gramStart"/>
      <w:r w:rsidRPr="00AC0334">
        <w:rPr>
          <w:rFonts w:asciiTheme="minorEastAsia" w:eastAsiaTheme="minorEastAsia" w:hAnsiTheme="minorEastAsia" w:hint="eastAsia"/>
          <w:sz w:val="18"/>
          <w:szCs w:val="18"/>
        </w:rPr>
        <w:t>余成本</w:t>
      </w:r>
      <w:proofErr w:type="gramEnd"/>
      <w:r w:rsidRPr="00AC0334">
        <w:rPr>
          <w:rFonts w:asciiTheme="minorEastAsia" w:eastAsiaTheme="minorEastAsia" w:hAnsiTheme="minorEastAsia" w:hint="eastAsia"/>
          <w:sz w:val="18"/>
          <w:szCs w:val="18"/>
        </w:rPr>
        <w:t>是以该金融资产或金融负债的初始确认金额扣除已偿还的本金，加上或减去采用实际利率法将该初始确认金额与到期</w:t>
      </w:r>
      <w:proofErr w:type="gramStart"/>
      <w:r w:rsidRPr="00AC0334">
        <w:rPr>
          <w:rFonts w:asciiTheme="minorEastAsia" w:eastAsiaTheme="minorEastAsia" w:hAnsiTheme="minorEastAsia" w:hint="eastAsia"/>
          <w:sz w:val="18"/>
          <w:szCs w:val="18"/>
        </w:rPr>
        <w:t>日金额</w:t>
      </w:r>
      <w:proofErr w:type="gramEnd"/>
      <w:r w:rsidRPr="00AC0334">
        <w:rPr>
          <w:rFonts w:asciiTheme="minorEastAsia" w:eastAsiaTheme="minorEastAsia" w:hAnsiTheme="minorEastAsia" w:hint="eastAsia"/>
          <w:sz w:val="18"/>
          <w:szCs w:val="18"/>
        </w:rPr>
        <w:t>之间的差额进行摊销形成的累计摊销额，再扣除累计计提的损失准备</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仅适用于金融资产</w:t>
      </w:r>
      <w:r w:rsidRPr="00AC0334">
        <w:rPr>
          <w:rFonts w:asciiTheme="minorEastAsia" w:eastAsiaTheme="minorEastAsia" w:hAnsiTheme="minorEastAsia"/>
          <w:sz w:val="18"/>
          <w:szCs w:val="18"/>
        </w:rPr>
        <w:t>)</w:t>
      </w:r>
      <w:r w:rsidRPr="00AC0334">
        <w:rPr>
          <w:rFonts w:asciiTheme="minorEastAsia" w:eastAsiaTheme="minorEastAsia" w:hAnsiTheme="minorEastAsia" w:hint="eastAsia"/>
          <w:sz w:val="18"/>
          <w:szCs w:val="18"/>
        </w:rPr>
        <w:t>。</w:t>
      </w:r>
    </w:p>
    <w:p w:rsidR="00BE788E" w:rsidRDefault="00BE788E">
      <w:pPr>
        <w:widowControl/>
        <w:numPr>
          <w:ilvl w:val="0"/>
          <w:numId w:val="18"/>
        </w:numPr>
        <w:spacing w:before="100" w:beforeAutospacing="1" w:after="100" w:afterAutospacing="1"/>
        <w:divId w:val="116679010"/>
        <w:rPr>
          <w:sz w:val="18"/>
          <w:szCs w:val="18"/>
        </w:rPr>
      </w:pPr>
      <w:r>
        <w:rPr>
          <w:rFonts w:hint="eastAsia"/>
          <w:sz w:val="18"/>
          <w:szCs w:val="18"/>
        </w:rPr>
        <w:lastRenderedPageBreak/>
        <w:t>金融资产的分类、确认和计量</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本公司根据所管理金融资产的业务模式和金融资产的合同现金流量特征，将金融资产划分为以下三类：</w:t>
      </w:r>
    </w:p>
    <w:p w:rsidR="00BE788E" w:rsidRDefault="00BE788E" w:rsidP="00B362E5">
      <w:pPr>
        <w:widowControl/>
        <w:numPr>
          <w:ilvl w:val="1"/>
          <w:numId w:val="19"/>
        </w:numPr>
        <w:spacing w:before="100" w:beforeAutospacing="1" w:after="100" w:afterAutospacing="1"/>
        <w:divId w:val="116679010"/>
        <w:rPr>
          <w:sz w:val="18"/>
          <w:szCs w:val="18"/>
        </w:rPr>
      </w:pPr>
      <w:r>
        <w:rPr>
          <w:rFonts w:hint="eastAsia"/>
          <w:sz w:val="18"/>
          <w:szCs w:val="18"/>
        </w:rPr>
        <w:t>以摊</w:t>
      </w:r>
      <w:proofErr w:type="gramStart"/>
      <w:r>
        <w:rPr>
          <w:rFonts w:hint="eastAsia"/>
          <w:sz w:val="18"/>
          <w:szCs w:val="18"/>
        </w:rPr>
        <w:t>余成本</w:t>
      </w:r>
      <w:proofErr w:type="gramEnd"/>
      <w:r>
        <w:rPr>
          <w:rFonts w:hint="eastAsia"/>
          <w:sz w:val="18"/>
          <w:szCs w:val="18"/>
        </w:rPr>
        <w:t>计量的金融资产。</w:t>
      </w:r>
    </w:p>
    <w:p w:rsidR="00BE788E" w:rsidRDefault="00BE788E" w:rsidP="00B362E5">
      <w:pPr>
        <w:widowControl/>
        <w:numPr>
          <w:ilvl w:val="1"/>
          <w:numId w:val="19"/>
        </w:numPr>
        <w:spacing w:before="100" w:beforeAutospacing="1" w:after="100" w:afterAutospacing="1"/>
        <w:divId w:val="116679010"/>
        <w:rPr>
          <w:sz w:val="18"/>
          <w:szCs w:val="18"/>
        </w:rPr>
      </w:pPr>
      <w:r>
        <w:rPr>
          <w:rFonts w:hint="eastAsia"/>
          <w:sz w:val="18"/>
          <w:szCs w:val="18"/>
        </w:rPr>
        <w:t>以公允价值计量且其变动计入其他综合收益的金融资产。</w:t>
      </w:r>
    </w:p>
    <w:p w:rsidR="00BE788E" w:rsidRDefault="00BE788E" w:rsidP="00B362E5">
      <w:pPr>
        <w:widowControl/>
        <w:numPr>
          <w:ilvl w:val="1"/>
          <w:numId w:val="19"/>
        </w:numPr>
        <w:spacing w:before="100" w:beforeAutospacing="1" w:after="100" w:afterAutospacing="1"/>
        <w:divId w:val="116679010"/>
        <w:rPr>
          <w:sz w:val="18"/>
          <w:szCs w:val="18"/>
        </w:rPr>
      </w:pPr>
      <w:r>
        <w:rPr>
          <w:rFonts w:hint="eastAsia"/>
          <w:sz w:val="18"/>
          <w:szCs w:val="18"/>
        </w:rPr>
        <w:t>以公允价值计量且其变动计入当期损益的金融资产。</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对于以公允价值计量且其变动计入当期损益的金融资产，相关交易费用直接计入当期损益，其他类别的金融资产相关交易费用计入其初始确认金额。</w:t>
      </w:r>
    </w:p>
    <w:p w:rsidR="00BE788E" w:rsidRPr="00AC0334" w:rsidRDefault="00BE788E" w:rsidP="00B362E5">
      <w:pPr>
        <w:pStyle w:val="a3"/>
        <w:spacing w:before="0" w:beforeAutospacing="0" w:after="0" w:afterAutospacing="0"/>
        <w:ind w:firstLine="420"/>
        <w:jc w:val="both"/>
        <w:divId w:val="116679010"/>
        <w:rPr>
          <w:rFonts w:asciiTheme="minorEastAsia" w:eastAsiaTheme="minorEastAsia" w:hAnsiTheme="minorEastAsia"/>
          <w:sz w:val="18"/>
          <w:szCs w:val="18"/>
        </w:rPr>
      </w:pPr>
      <w:r w:rsidRPr="00AC0334">
        <w:rPr>
          <w:rFonts w:asciiTheme="minorEastAsia" w:eastAsiaTheme="minorEastAsia" w:hAnsiTheme="minorEastAsia" w:hint="eastAsia"/>
          <w:sz w:val="18"/>
          <w:szCs w:val="18"/>
        </w:rPr>
        <w:t>金融资产的后续计量取决于其分类，当且仅当本公司改变管理金融资产的业务模式时，才对所有受影响的相关金融资产进行重分类。</w:t>
      </w:r>
    </w:p>
    <w:p w:rsidR="00BE788E" w:rsidRDefault="00BE788E" w:rsidP="00B362E5">
      <w:pPr>
        <w:widowControl/>
        <w:numPr>
          <w:ilvl w:val="0"/>
          <w:numId w:val="20"/>
        </w:numPr>
        <w:spacing w:before="100" w:beforeAutospacing="1" w:after="100" w:afterAutospacing="1"/>
        <w:divId w:val="116679010"/>
        <w:rPr>
          <w:sz w:val="18"/>
          <w:szCs w:val="18"/>
        </w:rPr>
      </w:pPr>
      <w:r>
        <w:rPr>
          <w:rFonts w:hint="eastAsia"/>
          <w:sz w:val="18"/>
          <w:szCs w:val="18"/>
        </w:rPr>
        <w:t>分类为以摊</w:t>
      </w:r>
      <w:proofErr w:type="gramStart"/>
      <w:r>
        <w:rPr>
          <w:rFonts w:hint="eastAsia"/>
          <w:sz w:val="18"/>
          <w:szCs w:val="18"/>
        </w:rPr>
        <w:t>余成本</w:t>
      </w:r>
      <w:proofErr w:type="gramEnd"/>
      <w:r>
        <w:rPr>
          <w:rFonts w:hint="eastAsia"/>
          <w:sz w:val="18"/>
          <w:szCs w:val="18"/>
        </w:rPr>
        <w:t>计量的金融资产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金金额为基础的利息的支付，且管理该金融资产的业务模式是以收取合同现金流量为目标，则本公司将该金融资产分类为以摊</w:t>
      </w:r>
      <w:proofErr w:type="gramStart"/>
      <w:r>
        <w:rPr>
          <w:rFonts w:hint="eastAsia"/>
          <w:sz w:val="18"/>
          <w:szCs w:val="18"/>
        </w:rPr>
        <w:t>余成本</w:t>
      </w:r>
      <w:proofErr w:type="gramEnd"/>
      <w:r>
        <w:rPr>
          <w:rFonts w:hint="eastAsia"/>
          <w:sz w:val="18"/>
          <w:szCs w:val="18"/>
        </w:rPr>
        <w:t>计量的金融资产。本公司分类为以摊</w:t>
      </w:r>
      <w:proofErr w:type="gramStart"/>
      <w:r>
        <w:rPr>
          <w:rFonts w:hint="eastAsia"/>
          <w:sz w:val="18"/>
          <w:szCs w:val="18"/>
        </w:rPr>
        <w:t>余成本</w:t>
      </w:r>
      <w:proofErr w:type="gramEnd"/>
      <w:r>
        <w:rPr>
          <w:rFonts w:hint="eastAsia"/>
          <w:sz w:val="18"/>
          <w:szCs w:val="18"/>
        </w:rPr>
        <w:t>计量的金融资产包括货币资金、应收票据、应收账款、其他应收款、长期应收款等。</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本公司对此类金融资产采用实际利率法确认利息收入，</w:t>
      </w:r>
      <w:proofErr w:type="gramStart"/>
      <w:r>
        <w:rPr>
          <w:rFonts w:hint="eastAsia"/>
          <w:sz w:val="18"/>
          <w:szCs w:val="18"/>
        </w:rPr>
        <w:t>按摊余成本</w:t>
      </w:r>
      <w:proofErr w:type="gramEnd"/>
      <w:r>
        <w:rPr>
          <w:rFonts w:hint="eastAsia"/>
          <w:sz w:val="18"/>
          <w:szCs w:val="18"/>
        </w:rPr>
        <w:t>进行后续计量，其发生减值时或终止确认、修改产生的利得或损失，计入当期损益。除下列情况外，本公司根据金融资产账面余额乘以实际利率计算确定利息收入：</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1</w:t>
      </w:r>
      <w:r>
        <w:rPr>
          <w:rFonts w:hint="eastAsia"/>
          <w:sz w:val="18"/>
          <w:szCs w:val="18"/>
        </w:rPr>
        <w:t>）对于</w:t>
      </w:r>
      <w:proofErr w:type="gramStart"/>
      <w:r>
        <w:rPr>
          <w:rFonts w:hint="eastAsia"/>
          <w:sz w:val="18"/>
          <w:szCs w:val="18"/>
        </w:rPr>
        <w:t>购入或源生</w:t>
      </w:r>
      <w:proofErr w:type="gramEnd"/>
      <w:r>
        <w:rPr>
          <w:rFonts w:hint="eastAsia"/>
          <w:sz w:val="18"/>
          <w:szCs w:val="18"/>
        </w:rPr>
        <w:t>的已发生信用减值的金融资产，本公司自初始确认起，按照该金融资产的摊</w:t>
      </w:r>
      <w:proofErr w:type="gramStart"/>
      <w:r>
        <w:rPr>
          <w:rFonts w:hint="eastAsia"/>
          <w:sz w:val="18"/>
          <w:szCs w:val="18"/>
        </w:rPr>
        <w:t>余成本</w:t>
      </w:r>
      <w:proofErr w:type="gramEnd"/>
      <w:r>
        <w:rPr>
          <w:rFonts w:hint="eastAsia"/>
          <w:sz w:val="18"/>
          <w:szCs w:val="18"/>
        </w:rPr>
        <w:t>和经信用调整的实际利率计算确定其利息收入。</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2</w:t>
      </w:r>
      <w:r>
        <w:rPr>
          <w:rFonts w:hint="eastAsia"/>
          <w:sz w:val="18"/>
          <w:szCs w:val="18"/>
        </w:rPr>
        <w:t>）</w:t>
      </w:r>
      <w:r>
        <w:rPr>
          <w:rFonts w:ascii="Times New Roman" w:hAnsi="Times New Roman" w:cs="Times New Roman"/>
          <w:sz w:val="18"/>
          <w:szCs w:val="18"/>
        </w:rPr>
        <w:t xml:space="preserve"> </w:t>
      </w:r>
      <w:r>
        <w:rPr>
          <w:rFonts w:hint="eastAsia"/>
          <w:sz w:val="18"/>
          <w:szCs w:val="18"/>
        </w:rPr>
        <w:t>对于</w:t>
      </w:r>
      <w:proofErr w:type="gramStart"/>
      <w:r>
        <w:rPr>
          <w:rFonts w:hint="eastAsia"/>
          <w:sz w:val="18"/>
          <w:szCs w:val="18"/>
        </w:rPr>
        <w:t>购入或源生</w:t>
      </w:r>
      <w:proofErr w:type="gramEnd"/>
      <w:r>
        <w:rPr>
          <w:rFonts w:hint="eastAsia"/>
          <w:sz w:val="18"/>
          <w:szCs w:val="18"/>
        </w:rPr>
        <w:t>的未发生信用减值、但在后续期间成为已发生信用减值的金融资产，本公司在后续期间，按照该金融资产的摊</w:t>
      </w:r>
      <w:proofErr w:type="gramStart"/>
      <w:r>
        <w:rPr>
          <w:rFonts w:hint="eastAsia"/>
          <w:sz w:val="18"/>
          <w:szCs w:val="18"/>
        </w:rPr>
        <w:t>余成本</w:t>
      </w:r>
      <w:proofErr w:type="gramEnd"/>
      <w:r>
        <w:rPr>
          <w:rFonts w:hint="eastAsia"/>
          <w:sz w:val="18"/>
          <w:szCs w:val="18"/>
        </w:rPr>
        <w:t>和实际利率计算确定其利息收入。若该金融工具在后续期间因其信用风险有所改善而不再存在信用减值，</w:t>
      </w:r>
      <w:proofErr w:type="gramStart"/>
      <w:r>
        <w:rPr>
          <w:rFonts w:hint="eastAsia"/>
          <w:sz w:val="18"/>
          <w:szCs w:val="18"/>
        </w:rPr>
        <w:t>本公司转按实际</w:t>
      </w:r>
      <w:proofErr w:type="gramEnd"/>
      <w:r>
        <w:rPr>
          <w:rFonts w:hint="eastAsia"/>
          <w:sz w:val="18"/>
          <w:szCs w:val="18"/>
        </w:rPr>
        <w:t>利率乘以该金融资产账面余额来计算确定利息收入。</w:t>
      </w:r>
    </w:p>
    <w:p w:rsidR="00BE788E" w:rsidRDefault="00BE788E" w:rsidP="00B362E5">
      <w:pPr>
        <w:widowControl/>
        <w:numPr>
          <w:ilvl w:val="0"/>
          <w:numId w:val="21"/>
        </w:numPr>
        <w:spacing w:before="100" w:beforeAutospacing="1" w:after="100" w:afterAutospacing="1"/>
        <w:divId w:val="116679010"/>
        <w:rPr>
          <w:sz w:val="18"/>
          <w:szCs w:val="18"/>
        </w:rPr>
      </w:pPr>
      <w:r>
        <w:rPr>
          <w:rFonts w:hint="eastAsia"/>
          <w:sz w:val="18"/>
          <w:szCs w:val="18"/>
        </w:rPr>
        <w:t>分类为以公允价值计量且其变动计入其他综合收益的金融资产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BE788E" w:rsidRDefault="00BE788E" w:rsidP="00B362E5">
      <w:pPr>
        <w:widowControl/>
        <w:numPr>
          <w:ilvl w:val="0"/>
          <w:numId w:val="22"/>
        </w:numPr>
        <w:spacing w:before="100" w:beforeAutospacing="1" w:after="100" w:afterAutospacing="1"/>
        <w:divId w:val="116679010"/>
        <w:rPr>
          <w:sz w:val="18"/>
          <w:szCs w:val="18"/>
        </w:rPr>
      </w:pPr>
      <w:r>
        <w:rPr>
          <w:rFonts w:hint="eastAsia"/>
          <w:sz w:val="18"/>
          <w:szCs w:val="18"/>
        </w:rPr>
        <w:t>指定为以公允价值计量且其变动计入其他综合收益的金融资产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在初始确认时，本公司可以单项金融资产为基础不可撤销地将</w:t>
      </w:r>
      <w:proofErr w:type="gramStart"/>
      <w:r>
        <w:rPr>
          <w:rFonts w:hint="eastAsia"/>
          <w:sz w:val="18"/>
          <w:szCs w:val="18"/>
        </w:rPr>
        <w:t>非交易</w:t>
      </w:r>
      <w:proofErr w:type="gramEnd"/>
      <w:r>
        <w:rPr>
          <w:rFonts w:hint="eastAsia"/>
          <w:sz w:val="18"/>
          <w:szCs w:val="18"/>
        </w:rPr>
        <w:t>性权益工具投资指定为以公允价值计量且其变动计入其他综合收益的金融资产。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w:t>
      </w:r>
      <w:proofErr w:type="gramStart"/>
      <w:r>
        <w:rPr>
          <w:rFonts w:hint="eastAsia"/>
          <w:sz w:val="18"/>
          <w:szCs w:val="18"/>
        </w:rPr>
        <w:t>期工具</w:t>
      </w:r>
      <w:proofErr w:type="gramEnd"/>
      <w:r>
        <w:rPr>
          <w:rFonts w:hint="eastAsia"/>
          <w:sz w:val="18"/>
          <w:szCs w:val="18"/>
        </w:rPr>
        <w:t>的衍生工具除外）。</w:t>
      </w:r>
    </w:p>
    <w:p w:rsidR="00BE788E" w:rsidRDefault="00BE788E" w:rsidP="00B362E5">
      <w:pPr>
        <w:widowControl/>
        <w:numPr>
          <w:ilvl w:val="0"/>
          <w:numId w:val="23"/>
        </w:numPr>
        <w:spacing w:before="100" w:beforeAutospacing="1" w:after="100" w:afterAutospacing="1"/>
        <w:divId w:val="116679010"/>
        <w:rPr>
          <w:sz w:val="18"/>
          <w:szCs w:val="18"/>
        </w:rPr>
      </w:pPr>
      <w:r>
        <w:rPr>
          <w:rFonts w:hint="eastAsia"/>
          <w:sz w:val="18"/>
          <w:szCs w:val="18"/>
        </w:rPr>
        <w:t>分类为以公允价值计量且其变动计入当期损益的金融资产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不符合分类为以摊</w:t>
      </w:r>
      <w:proofErr w:type="gramStart"/>
      <w:r>
        <w:rPr>
          <w:rFonts w:hint="eastAsia"/>
          <w:sz w:val="18"/>
          <w:szCs w:val="18"/>
        </w:rPr>
        <w:t>余成本</w:t>
      </w:r>
      <w:proofErr w:type="gramEnd"/>
      <w:r>
        <w:rPr>
          <w:rFonts w:hint="eastAsia"/>
          <w:sz w:val="18"/>
          <w:szCs w:val="18"/>
        </w:rPr>
        <w:t>计量或以公允价值计量且其变动计入其他综合收益的金融资产条件、亦不指定为以公允价值计量且其变动计入其他综合收益的金融资产均分类为以公允价值计量且其变动计入当期损益的金融资产。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本公司对此类金融资产根据其流动性在交易性金融资产、其他非流动金融资产项目列报。</w:t>
      </w:r>
    </w:p>
    <w:p w:rsidR="00BE788E" w:rsidRDefault="00BE788E" w:rsidP="00B362E5">
      <w:pPr>
        <w:widowControl/>
        <w:numPr>
          <w:ilvl w:val="0"/>
          <w:numId w:val="24"/>
        </w:numPr>
        <w:spacing w:before="100" w:beforeAutospacing="1" w:after="100" w:afterAutospacing="1"/>
        <w:divId w:val="116679010"/>
        <w:rPr>
          <w:sz w:val="18"/>
          <w:szCs w:val="18"/>
        </w:rPr>
      </w:pPr>
      <w:r>
        <w:rPr>
          <w:rFonts w:hint="eastAsia"/>
          <w:sz w:val="18"/>
          <w:szCs w:val="18"/>
        </w:rPr>
        <w:t>指定为以公允价值计量且其变动计入当期损益的金融资产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在初始确认时，本公司为了消除或显著减少会计错配，可以单项金融资产为基础不可撤销地将金融资产指定为以公允价值计量且其变动计入当期损益的金融资产。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混合合同包含一项或多项嵌入衍生工具，且其主合同不属于以上金融资产的，本公司可以将其整体指定为以公允价值计量且其变动计入当期损益的金融工具。但下列情况除外：</w:t>
      </w:r>
      <w:r>
        <w:rPr>
          <w:rFonts w:ascii="Times New Roman" w:hAnsi="Times New Roman" w:cs="Times New Roman"/>
          <w:sz w:val="18"/>
          <w:szCs w:val="18"/>
        </w:rPr>
        <w:t xml:space="preserve"> </w:t>
      </w:r>
    </w:p>
    <w:p w:rsidR="00BE788E" w:rsidRDefault="00BE788E" w:rsidP="00B362E5">
      <w:pPr>
        <w:widowControl/>
        <w:numPr>
          <w:ilvl w:val="0"/>
          <w:numId w:val="2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嵌入衍生工具不会对混合合同的现金流量产生重大改变。</w:t>
      </w:r>
    </w:p>
    <w:p w:rsidR="00BE788E" w:rsidRDefault="00BE788E" w:rsidP="00B362E5">
      <w:pPr>
        <w:widowControl/>
        <w:numPr>
          <w:ilvl w:val="0"/>
          <w:numId w:val="2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在初次确定类似的混合合同是否需要分拆时，几乎不需分析就能明确其包含的嵌入衍生工具不应分拆。如嵌入贷款的提前还款权，允许持有人以接近摊</w:t>
      </w:r>
      <w:proofErr w:type="gramStart"/>
      <w:r>
        <w:rPr>
          <w:rFonts w:hint="eastAsia"/>
          <w:sz w:val="18"/>
          <w:szCs w:val="18"/>
        </w:rPr>
        <w:t>余成本</w:t>
      </w:r>
      <w:proofErr w:type="gramEnd"/>
      <w:r>
        <w:rPr>
          <w:rFonts w:hint="eastAsia"/>
          <w:sz w:val="18"/>
          <w:szCs w:val="18"/>
        </w:rPr>
        <w:t>的金额提前偿还贷款，该提前还款权不需要分拆。</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本公司对此类金融资产根据其流动性在交易性金融资产、其他非流动金融资产项目列报。</w:t>
      </w:r>
    </w:p>
    <w:p w:rsidR="00BE788E" w:rsidRDefault="00BE788E" w:rsidP="00B362E5">
      <w:pPr>
        <w:widowControl/>
        <w:numPr>
          <w:ilvl w:val="0"/>
          <w:numId w:val="26"/>
        </w:numPr>
        <w:spacing w:before="100" w:beforeAutospacing="1" w:after="100" w:afterAutospacing="1"/>
        <w:divId w:val="116679010"/>
        <w:rPr>
          <w:sz w:val="18"/>
          <w:szCs w:val="18"/>
        </w:rPr>
      </w:pPr>
      <w:r>
        <w:rPr>
          <w:rFonts w:hint="eastAsia"/>
          <w:sz w:val="18"/>
          <w:szCs w:val="18"/>
        </w:rPr>
        <w:t>金融负债的分类、确认和计量</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w:t>
      </w:r>
      <w:proofErr w:type="gramStart"/>
      <w:r>
        <w:rPr>
          <w:rFonts w:hint="eastAsia"/>
          <w:sz w:val="18"/>
          <w:szCs w:val="18"/>
        </w:rPr>
        <w:t>期工具</w:t>
      </w:r>
      <w:proofErr w:type="gramEnd"/>
      <w:r>
        <w:rPr>
          <w:rFonts w:hint="eastAsia"/>
          <w:sz w:val="18"/>
          <w:szCs w:val="18"/>
        </w:rPr>
        <w:t>的衍生工具。</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金融负债的后续计量取决于其分类：</w:t>
      </w:r>
    </w:p>
    <w:p w:rsidR="00BE788E" w:rsidRDefault="00BE788E" w:rsidP="00B362E5">
      <w:pPr>
        <w:widowControl/>
        <w:numPr>
          <w:ilvl w:val="0"/>
          <w:numId w:val="27"/>
        </w:numPr>
        <w:spacing w:before="100" w:beforeAutospacing="1" w:after="100" w:afterAutospacing="1"/>
        <w:divId w:val="116679010"/>
        <w:rPr>
          <w:sz w:val="18"/>
          <w:szCs w:val="18"/>
        </w:rPr>
      </w:pPr>
      <w:r>
        <w:rPr>
          <w:rFonts w:hint="eastAsia"/>
          <w:sz w:val="18"/>
          <w:szCs w:val="18"/>
        </w:rPr>
        <w:t>以公允价值计量且其变动计入当期损益的金融负债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此类金融负债包括交易性金融负债（</w:t>
      </w:r>
      <w:proofErr w:type="gramStart"/>
      <w:r>
        <w:rPr>
          <w:rFonts w:hint="eastAsia"/>
          <w:sz w:val="18"/>
          <w:szCs w:val="18"/>
        </w:rPr>
        <w:t>含属于</w:t>
      </w:r>
      <w:proofErr w:type="gramEnd"/>
      <w:r>
        <w:rPr>
          <w:rFonts w:hint="eastAsia"/>
          <w:sz w:val="18"/>
          <w:szCs w:val="18"/>
        </w:rPr>
        <w:t>金融负债的衍生工具）和初始确认时指定为以公允价值计量且其变动计入当期损益的金融负债。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w:t>
      </w:r>
      <w:proofErr w:type="gramStart"/>
      <w:r>
        <w:rPr>
          <w:rFonts w:hint="eastAsia"/>
          <w:sz w:val="18"/>
          <w:szCs w:val="18"/>
        </w:rPr>
        <w:t>期工具</w:t>
      </w:r>
      <w:proofErr w:type="gramEnd"/>
      <w:r>
        <w:rPr>
          <w:rFonts w:hint="eastAsia"/>
          <w:sz w:val="18"/>
          <w:szCs w:val="18"/>
        </w:rPr>
        <w:t>的衍生工具、符合财务担保合同的衍生工具除外。交易性金融负债（</w:t>
      </w:r>
      <w:proofErr w:type="gramStart"/>
      <w:r>
        <w:rPr>
          <w:rFonts w:hint="eastAsia"/>
          <w:sz w:val="18"/>
          <w:szCs w:val="18"/>
        </w:rPr>
        <w:t>含属于</w:t>
      </w:r>
      <w:proofErr w:type="gramEnd"/>
      <w:r>
        <w:rPr>
          <w:rFonts w:hint="eastAsia"/>
          <w:sz w:val="18"/>
          <w:szCs w:val="18"/>
        </w:rPr>
        <w:t>金融负债的衍生工具），按照公允价值进行后续计量，除与套期会计有关外，所有公允价值变动均计入当期损益。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在初始确认时，为了提供更相关的会计信息，本公司将满足下列条件之一的金融负债不可撤销地指定为以公允价值计量且其变动计入当期损益的金融负债：</w:t>
      </w:r>
    </w:p>
    <w:p w:rsidR="00BE788E" w:rsidRDefault="00BE788E" w:rsidP="00B362E5">
      <w:pPr>
        <w:widowControl/>
        <w:numPr>
          <w:ilvl w:val="0"/>
          <w:numId w:val="28"/>
        </w:numPr>
        <w:spacing w:before="100" w:beforeAutospacing="1" w:after="100" w:afterAutospacing="1"/>
        <w:divId w:val="116679010"/>
        <w:rPr>
          <w:sz w:val="18"/>
          <w:szCs w:val="18"/>
        </w:rPr>
      </w:pPr>
      <w:r>
        <w:rPr>
          <w:rFonts w:hint="eastAsia"/>
          <w:sz w:val="18"/>
          <w:szCs w:val="18"/>
        </w:rPr>
        <w:t>）能够消除或显著减少会计错配。</w:t>
      </w:r>
    </w:p>
    <w:p w:rsidR="00BE788E" w:rsidRDefault="00BE788E" w:rsidP="00B362E5">
      <w:pPr>
        <w:widowControl/>
        <w:numPr>
          <w:ilvl w:val="0"/>
          <w:numId w:val="28"/>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根据正式书面文件载明的企业风险管理或投资策略，以公允价值为基础对金融负债组合或金融资产和金融负债组合进行管理和业绩评价，并在企业内部以此为基础向关键管理人员报告。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BE788E" w:rsidRDefault="00BE788E" w:rsidP="00B362E5">
      <w:pPr>
        <w:widowControl/>
        <w:numPr>
          <w:ilvl w:val="0"/>
          <w:numId w:val="29"/>
        </w:numPr>
        <w:spacing w:before="100" w:beforeAutospacing="1" w:after="100" w:afterAutospacing="1"/>
        <w:divId w:val="116679010"/>
        <w:rPr>
          <w:sz w:val="18"/>
          <w:szCs w:val="18"/>
        </w:rPr>
      </w:pPr>
      <w:r>
        <w:rPr>
          <w:rFonts w:hint="eastAsia"/>
          <w:sz w:val="18"/>
          <w:szCs w:val="18"/>
        </w:rPr>
        <w:t>其他金融负债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除下列各项外，公司将金融负债分类为以摊</w:t>
      </w:r>
      <w:proofErr w:type="gramStart"/>
      <w:r>
        <w:rPr>
          <w:rFonts w:hint="eastAsia"/>
          <w:sz w:val="18"/>
          <w:szCs w:val="18"/>
        </w:rPr>
        <w:t>余成本</w:t>
      </w:r>
      <w:proofErr w:type="gramEnd"/>
      <w:r>
        <w:rPr>
          <w:rFonts w:hint="eastAsia"/>
          <w:sz w:val="18"/>
          <w:szCs w:val="18"/>
        </w:rPr>
        <w:t>计量的金融负债，对此类金融负债采用实际利率法，按照摊</w:t>
      </w:r>
      <w:proofErr w:type="gramStart"/>
      <w:r>
        <w:rPr>
          <w:rFonts w:hint="eastAsia"/>
          <w:sz w:val="18"/>
          <w:szCs w:val="18"/>
        </w:rPr>
        <w:t>余成本</w:t>
      </w:r>
      <w:proofErr w:type="gramEnd"/>
      <w:r>
        <w:rPr>
          <w:rFonts w:hint="eastAsia"/>
          <w:sz w:val="18"/>
          <w:szCs w:val="18"/>
        </w:rPr>
        <w:t>进行后续计量，终止确认或摊销产生的利得或损失计入当期损益：</w:t>
      </w:r>
    </w:p>
    <w:p w:rsidR="00BE788E" w:rsidRDefault="00BE788E" w:rsidP="00B362E5">
      <w:pPr>
        <w:widowControl/>
        <w:numPr>
          <w:ilvl w:val="0"/>
          <w:numId w:val="30"/>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以公允价值计量且其变动计入当期损益的金融负债。</w:t>
      </w:r>
    </w:p>
    <w:p w:rsidR="00BE788E" w:rsidRDefault="00BE788E" w:rsidP="00B362E5">
      <w:pPr>
        <w:widowControl/>
        <w:numPr>
          <w:ilvl w:val="0"/>
          <w:numId w:val="30"/>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金融资产转移不符合终止确认条件或继续涉入被转移金融资产所形成的金融负债。</w:t>
      </w:r>
    </w:p>
    <w:p w:rsidR="00BE788E" w:rsidRDefault="00BE788E" w:rsidP="00B362E5">
      <w:pPr>
        <w:widowControl/>
        <w:numPr>
          <w:ilvl w:val="0"/>
          <w:numId w:val="30"/>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不属于本条前两类情形的财务担保合同，以及不属于本条第</w:t>
      </w:r>
      <w:r>
        <w:rPr>
          <w:rFonts w:ascii="Times New Roman" w:hAnsi="Times New Roman" w:cs="Times New Roman"/>
          <w:sz w:val="18"/>
          <w:szCs w:val="18"/>
        </w:rPr>
        <w:t>1</w:t>
      </w:r>
      <w:r>
        <w:rPr>
          <w:rFonts w:hint="eastAsia"/>
          <w:sz w:val="18"/>
          <w:szCs w:val="18"/>
        </w:rPr>
        <w:t>）类情形的以低于市场利率贷款的贷款承诺。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BE788E" w:rsidRDefault="00BE788E" w:rsidP="00B362E5">
      <w:pPr>
        <w:widowControl/>
        <w:numPr>
          <w:ilvl w:val="0"/>
          <w:numId w:val="31"/>
        </w:numPr>
        <w:spacing w:before="100" w:beforeAutospacing="1" w:after="100" w:afterAutospacing="1"/>
        <w:divId w:val="116679010"/>
        <w:rPr>
          <w:sz w:val="18"/>
          <w:szCs w:val="18"/>
        </w:rPr>
      </w:pPr>
      <w:r>
        <w:rPr>
          <w:rFonts w:hint="eastAsia"/>
          <w:sz w:val="18"/>
          <w:szCs w:val="18"/>
        </w:rPr>
        <w:t>金融资产和金融负债的终止确认</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）金融资产满足下列条件之一的，终止确认金融资产，即从其账户和资产负债表内予以转销：</w:t>
      </w:r>
    </w:p>
    <w:p w:rsidR="00BE788E" w:rsidRDefault="00BE788E" w:rsidP="00B362E5">
      <w:pPr>
        <w:widowControl/>
        <w:numPr>
          <w:ilvl w:val="0"/>
          <w:numId w:val="32"/>
        </w:numPr>
        <w:spacing w:before="100" w:beforeAutospacing="1" w:after="100" w:afterAutospacing="1"/>
        <w:divId w:val="116679010"/>
        <w:rPr>
          <w:sz w:val="18"/>
          <w:szCs w:val="18"/>
        </w:rPr>
      </w:pPr>
      <w:r>
        <w:rPr>
          <w:rFonts w:hint="eastAsia"/>
          <w:sz w:val="18"/>
          <w:szCs w:val="18"/>
        </w:rPr>
        <w:t>）收取该金融资产现金流量的合同权利终止。</w:t>
      </w:r>
    </w:p>
    <w:p w:rsidR="00BE788E" w:rsidRDefault="00BE788E" w:rsidP="00B362E5">
      <w:pPr>
        <w:widowControl/>
        <w:numPr>
          <w:ilvl w:val="0"/>
          <w:numId w:val="32"/>
        </w:numPr>
        <w:spacing w:before="100" w:beforeAutospacing="1" w:after="100" w:afterAutospacing="1"/>
        <w:divId w:val="116679010"/>
        <w:rPr>
          <w:sz w:val="18"/>
          <w:szCs w:val="18"/>
        </w:rPr>
      </w:pPr>
      <w:r>
        <w:rPr>
          <w:rFonts w:hint="eastAsia"/>
          <w:sz w:val="18"/>
          <w:szCs w:val="18"/>
        </w:rPr>
        <w:t>）该金融资产已转移，且</w:t>
      </w:r>
      <w:proofErr w:type="gramStart"/>
      <w:r>
        <w:rPr>
          <w:rFonts w:hint="eastAsia"/>
          <w:sz w:val="18"/>
          <w:szCs w:val="18"/>
        </w:rPr>
        <w:t>该转移</w:t>
      </w:r>
      <w:proofErr w:type="gramEnd"/>
      <w:r>
        <w:rPr>
          <w:rFonts w:hint="eastAsia"/>
          <w:sz w:val="18"/>
          <w:szCs w:val="18"/>
        </w:rPr>
        <w:t>满足金融资产终止确认的规定。</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）金融负债终止确认条件</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金融负债（或其一部分）的现时义务已经解除的，则终止确认该金融负债（或该部分金融负债）。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BE788E" w:rsidRDefault="00BE788E" w:rsidP="00B362E5">
      <w:pPr>
        <w:widowControl/>
        <w:numPr>
          <w:ilvl w:val="0"/>
          <w:numId w:val="33"/>
        </w:numPr>
        <w:spacing w:before="100" w:beforeAutospacing="1" w:after="100" w:afterAutospacing="1"/>
        <w:divId w:val="116679010"/>
        <w:rPr>
          <w:sz w:val="18"/>
          <w:szCs w:val="18"/>
        </w:rPr>
      </w:pPr>
      <w:r>
        <w:rPr>
          <w:rFonts w:hint="eastAsia"/>
          <w:sz w:val="18"/>
          <w:szCs w:val="18"/>
        </w:rPr>
        <w:t>金融资产转移的确认依据和计量方法</w:t>
      </w:r>
    </w:p>
    <w:p w:rsidR="00BE788E" w:rsidRPr="00B362E5"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本公司在发生金融资产转移时，评估其保留金融资产所有权上的风险和报酬的程度，并分别下列情形处理：</w:t>
      </w:r>
    </w:p>
    <w:p w:rsidR="00BE788E" w:rsidRDefault="00BE788E" w:rsidP="00B362E5">
      <w:pPr>
        <w:widowControl/>
        <w:numPr>
          <w:ilvl w:val="1"/>
          <w:numId w:val="34"/>
        </w:numPr>
        <w:spacing w:before="100" w:beforeAutospacing="1" w:after="100" w:afterAutospacing="1"/>
        <w:divId w:val="116679010"/>
        <w:rPr>
          <w:sz w:val="18"/>
          <w:szCs w:val="18"/>
        </w:rPr>
      </w:pPr>
      <w:r>
        <w:rPr>
          <w:rFonts w:hint="eastAsia"/>
          <w:sz w:val="18"/>
          <w:szCs w:val="18"/>
        </w:rPr>
        <w:t>转移了金融资产所有权上几乎所有风险和报酬的，则终止确认该金融资产，并将转移中产生或保留的权利和义务单独确认为资产或负债。</w:t>
      </w:r>
    </w:p>
    <w:p w:rsidR="00BE788E" w:rsidRDefault="00BE788E" w:rsidP="00B362E5">
      <w:pPr>
        <w:widowControl/>
        <w:numPr>
          <w:ilvl w:val="1"/>
          <w:numId w:val="34"/>
        </w:numPr>
        <w:spacing w:before="100" w:beforeAutospacing="1" w:after="100" w:afterAutospacing="1"/>
        <w:divId w:val="116679010"/>
        <w:rPr>
          <w:sz w:val="18"/>
          <w:szCs w:val="18"/>
        </w:rPr>
      </w:pPr>
      <w:r>
        <w:rPr>
          <w:rFonts w:hint="eastAsia"/>
          <w:sz w:val="18"/>
          <w:szCs w:val="18"/>
        </w:rPr>
        <w:t>保留了金融资产所有权上几乎所有风险和报酬的，则继续确认该金融资产。</w:t>
      </w:r>
    </w:p>
    <w:p w:rsidR="00BE788E" w:rsidRDefault="00BE788E" w:rsidP="00B362E5">
      <w:pPr>
        <w:widowControl/>
        <w:numPr>
          <w:ilvl w:val="1"/>
          <w:numId w:val="34"/>
        </w:numPr>
        <w:spacing w:before="100" w:beforeAutospacing="1" w:after="100" w:afterAutospacing="1"/>
        <w:divId w:val="116679010"/>
        <w:rPr>
          <w:sz w:val="18"/>
          <w:szCs w:val="18"/>
        </w:rPr>
      </w:pPr>
      <w:r>
        <w:rPr>
          <w:rFonts w:hint="eastAsia"/>
          <w:sz w:val="18"/>
          <w:szCs w:val="18"/>
        </w:rPr>
        <w:t>既没有转移也没有保留金融资产所有权上几乎所有风险和报酬的（即除本条（</w:t>
      </w:r>
      <w:r>
        <w:rPr>
          <w:rFonts w:ascii="Times New Roman" w:hAnsi="Times New Roman" w:cs="Times New Roman"/>
          <w:sz w:val="18"/>
          <w:szCs w:val="18"/>
        </w:rPr>
        <w:t>1</w:t>
      </w:r>
      <w:r>
        <w:rPr>
          <w:rFonts w:hint="eastAsia"/>
          <w:sz w:val="18"/>
          <w:szCs w:val="18"/>
        </w:rPr>
        <w:t>）、（</w:t>
      </w:r>
      <w:r>
        <w:rPr>
          <w:rFonts w:ascii="Times New Roman" w:hAnsi="Times New Roman" w:cs="Times New Roman"/>
          <w:sz w:val="18"/>
          <w:szCs w:val="18"/>
        </w:rPr>
        <w:t>2</w:t>
      </w:r>
      <w:r>
        <w:rPr>
          <w:rFonts w:hint="eastAsia"/>
          <w:sz w:val="18"/>
          <w:szCs w:val="18"/>
        </w:rPr>
        <w:t>）之外的其他情形），则根据其是否保留了对金融资产的控制，分别下列情形处理：</w:t>
      </w:r>
    </w:p>
    <w:p w:rsidR="00BE788E" w:rsidRDefault="00BE788E" w:rsidP="00B362E5">
      <w:pPr>
        <w:widowControl/>
        <w:numPr>
          <w:ilvl w:val="0"/>
          <w:numId w:val="3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未保留对该金融资产控制的，则终止确认该金融资产，并将转移中产生或保留的权利和义务单独确认为资产或负债。</w:t>
      </w:r>
    </w:p>
    <w:p w:rsidR="00BE788E" w:rsidRDefault="00BE788E" w:rsidP="00B362E5">
      <w:pPr>
        <w:widowControl/>
        <w:numPr>
          <w:ilvl w:val="0"/>
          <w:numId w:val="35"/>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在判断金融资产转移是否满足上述金融资产终止确认条件时，采用实质重于形式的原则。公司将金融资产转移区分为金融资产整体转移和部分转移。</w:t>
      </w:r>
    </w:p>
    <w:p w:rsidR="00BE788E" w:rsidRDefault="00BE788E" w:rsidP="00B362E5">
      <w:pPr>
        <w:widowControl/>
        <w:numPr>
          <w:ilvl w:val="0"/>
          <w:numId w:val="36"/>
        </w:numPr>
        <w:spacing w:before="100" w:beforeAutospacing="1" w:after="100" w:afterAutospacing="1"/>
        <w:divId w:val="116679010"/>
        <w:rPr>
          <w:sz w:val="18"/>
          <w:szCs w:val="18"/>
        </w:rPr>
      </w:pPr>
      <w:r>
        <w:rPr>
          <w:rFonts w:hint="eastAsia"/>
          <w:sz w:val="18"/>
          <w:szCs w:val="18"/>
        </w:rPr>
        <w:t>金融资产整体转移满足终止确认条件的，将下列两项金额的差额计入当期损益：</w:t>
      </w:r>
    </w:p>
    <w:p w:rsidR="00BE788E" w:rsidRDefault="00BE788E" w:rsidP="00B362E5">
      <w:pPr>
        <w:widowControl/>
        <w:numPr>
          <w:ilvl w:val="0"/>
          <w:numId w:val="37"/>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被转移金融资产在终止确认日的账面价值。</w:t>
      </w:r>
    </w:p>
    <w:p w:rsidR="00BE788E" w:rsidRDefault="00BE788E" w:rsidP="00B362E5">
      <w:pPr>
        <w:widowControl/>
        <w:numPr>
          <w:ilvl w:val="0"/>
          <w:numId w:val="37"/>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因转移金融资产而收到的对价，与</w:t>
      </w:r>
      <w:proofErr w:type="gramStart"/>
      <w:r>
        <w:rPr>
          <w:rFonts w:hint="eastAsia"/>
          <w:sz w:val="18"/>
          <w:szCs w:val="18"/>
        </w:rPr>
        <w:t>原直接</w:t>
      </w:r>
      <w:proofErr w:type="gramEnd"/>
      <w:r>
        <w:rPr>
          <w:rFonts w:hint="eastAsia"/>
          <w:sz w:val="18"/>
          <w:szCs w:val="18"/>
        </w:rPr>
        <w:t>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BE788E" w:rsidRDefault="00BE788E" w:rsidP="00B362E5">
      <w:pPr>
        <w:widowControl/>
        <w:numPr>
          <w:ilvl w:val="0"/>
          <w:numId w:val="38"/>
        </w:numPr>
        <w:spacing w:before="100" w:beforeAutospacing="1" w:after="100" w:afterAutospacing="1"/>
        <w:divId w:val="116679010"/>
        <w:rPr>
          <w:sz w:val="18"/>
          <w:szCs w:val="18"/>
        </w:rPr>
      </w:pPr>
      <w:r>
        <w:rPr>
          <w:rFonts w:hint="eastAsia"/>
          <w:sz w:val="18"/>
          <w:szCs w:val="18"/>
        </w:rPr>
        <w:t>金融资产部分转移且该被转移部分整体满足终止确认条件的，将转移前金融资产整体的账面价值，在终止确认部分和继续确认部分（在此种情形下，所保留的服务资产应当视同继续确认金融资产的一部分）之间，按照</w:t>
      </w:r>
      <w:proofErr w:type="gramStart"/>
      <w:r>
        <w:rPr>
          <w:rFonts w:hint="eastAsia"/>
          <w:sz w:val="18"/>
          <w:szCs w:val="18"/>
        </w:rPr>
        <w:t>转移日</w:t>
      </w:r>
      <w:proofErr w:type="gramEnd"/>
      <w:r>
        <w:rPr>
          <w:rFonts w:hint="eastAsia"/>
          <w:sz w:val="18"/>
          <w:szCs w:val="18"/>
        </w:rPr>
        <w:t>各自的相对公允价值进行分摊，并将下列两项金额的差额计入当期损益：</w:t>
      </w:r>
    </w:p>
    <w:p w:rsidR="00BE788E" w:rsidRDefault="00BE788E" w:rsidP="00B362E5">
      <w:pPr>
        <w:widowControl/>
        <w:numPr>
          <w:ilvl w:val="0"/>
          <w:numId w:val="39"/>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终止确认部分在终止确认日的账面价值。</w:t>
      </w:r>
    </w:p>
    <w:p w:rsidR="00BE788E" w:rsidRDefault="00BE788E" w:rsidP="00B362E5">
      <w:pPr>
        <w:widowControl/>
        <w:numPr>
          <w:ilvl w:val="0"/>
          <w:numId w:val="39"/>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终止确认部分收到的对价，与原计入其他综合收益的公允价值变动累计额中对应终止确认部分的金额（涉及转移的金融资产为以公允价值计量且其变动计入其他综合收益的金融资产）之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金融资产转移不满足终止确认条件的，继续确认该金融资产，所收到的对价确认为一项金融负债。</w:t>
      </w:r>
    </w:p>
    <w:p w:rsidR="00BE788E" w:rsidRDefault="00BE788E" w:rsidP="00B362E5">
      <w:pPr>
        <w:widowControl/>
        <w:numPr>
          <w:ilvl w:val="0"/>
          <w:numId w:val="40"/>
        </w:numPr>
        <w:spacing w:before="100" w:beforeAutospacing="1" w:after="100" w:afterAutospacing="1"/>
        <w:divId w:val="116679010"/>
        <w:rPr>
          <w:sz w:val="18"/>
          <w:szCs w:val="18"/>
        </w:rPr>
      </w:pPr>
      <w:r>
        <w:rPr>
          <w:rFonts w:hint="eastAsia"/>
          <w:sz w:val="18"/>
          <w:szCs w:val="18"/>
        </w:rPr>
        <w:t>金融资产和金融负债公允价值的确定方法</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初始取得或衍生的金融资产或承担的金融负债，以市场交易价格作为确定其公允价值的基础。</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BE788E" w:rsidRDefault="00BE788E" w:rsidP="00B362E5">
      <w:pPr>
        <w:widowControl/>
        <w:numPr>
          <w:ilvl w:val="0"/>
          <w:numId w:val="41"/>
        </w:numPr>
        <w:spacing w:before="100" w:beforeAutospacing="1" w:after="100" w:afterAutospacing="1"/>
        <w:divId w:val="116679010"/>
        <w:rPr>
          <w:sz w:val="18"/>
          <w:szCs w:val="18"/>
        </w:rPr>
      </w:pPr>
      <w:r>
        <w:rPr>
          <w:rFonts w:hint="eastAsia"/>
          <w:sz w:val="18"/>
          <w:szCs w:val="18"/>
        </w:rPr>
        <w:t>金融工具减值</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本公司对以摊</w:t>
      </w:r>
      <w:proofErr w:type="gramStart"/>
      <w:r>
        <w:rPr>
          <w:rFonts w:hint="eastAsia"/>
          <w:sz w:val="18"/>
          <w:szCs w:val="18"/>
        </w:rPr>
        <w:t>余成本</w:t>
      </w:r>
      <w:proofErr w:type="gramEnd"/>
      <w:r>
        <w:rPr>
          <w:rFonts w:hint="eastAsia"/>
          <w:sz w:val="18"/>
          <w:szCs w:val="18"/>
        </w:rPr>
        <w:t>计量的金融资产以预期信用损失为基础进行减值会计处理并确认损失准备。</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预期信用损失，是指以发生违约的风险为权重的金融工具信用损失的加权平均值。信用损失，是指本公司按照</w:t>
      </w:r>
      <w:proofErr w:type="gramStart"/>
      <w:r>
        <w:rPr>
          <w:rFonts w:hint="eastAsia"/>
          <w:sz w:val="18"/>
          <w:szCs w:val="18"/>
        </w:rPr>
        <w:t>原实际</w:t>
      </w:r>
      <w:proofErr w:type="gramEnd"/>
      <w:r>
        <w:rPr>
          <w:rFonts w:hint="eastAsia"/>
          <w:sz w:val="18"/>
          <w:szCs w:val="18"/>
        </w:rPr>
        <w:t>利率折现的、根据合同应收的所有合同现金流量与预期收取的所有现金流量之间的差额，即全部现金短缺的现值。其中，对于本公司</w:t>
      </w:r>
      <w:proofErr w:type="gramStart"/>
      <w:r>
        <w:rPr>
          <w:rFonts w:hint="eastAsia"/>
          <w:sz w:val="18"/>
          <w:szCs w:val="18"/>
        </w:rPr>
        <w:t>购买或源生</w:t>
      </w:r>
      <w:proofErr w:type="gramEnd"/>
      <w:r>
        <w:rPr>
          <w:rFonts w:hint="eastAsia"/>
          <w:sz w:val="18"/>
          <w:szCs w:val="18"/>
        </w:rPr>
        <w:t>的已发生信用减值的金融资产，应按照该金融资产经信用调整的实际利率折现。</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对于</w:t>
      </w:r>
      <w:proofErr w:type="gramStart"/>
      <w:r>
        <w:rPr>
          <w:rFonts w:hint="eastAsia"/>
          <w:sz w:val="18"/>
          <w:szCs w:val="18"/>
        </w:rPr>
        <w:t>购买或源生</w:t>
      </w:r>
      <w:proofErr w:type="gramEnd"/>
      <w:r>
        <w:rPr>
          <w:rFonts w:hint="eastAsia"/>
          <w:sz w:val="18"/>
          <w:szCs w:val="18"/>
        </w:rPr>
        <w:t>的已发生信用减值的金融资产，在资产负债表日仅将自初始确认后整个存续期内预期信用损失的累计变动确认为损失准备。在每个资产负债表日，将整个存续期内预期信用损失的变动金额作为减值损失或利得计入当期损益。即使该资产负债表日确定的整个存续期内预期信用损失小于初始确认时估计现金流量所反映的预期信用损失的金额，也将预期信用损失的有利变动确认为减值利得。</w:t>
      </w:r>
    </w:p>
    <w:p w:rsidR="00BE788E" w:rsidRPr="00B362E5" w:rsidRDefault="00BE788E" w:rsidP="00B362E5">
      <w:pPr>
        <w:pStyle w:val="a3"/>
        <w:spacing w:before="0" w:beforeAutospacing="0" w:after="0" w:afterAutospacing="0"/>
        <w:ind w:firstLine="420"/>
        <w:jc w:val="both"/>
        <w:divId w:val="116679010"/>
        <w:rPr>
          <w:sz w:val="21"/>
          <w:szCs w:val="21"/>
        </w:rPr>
      </w:pPr>
      <w:r>
        <w:rPr>
          <w:rFonts w:hint="eastAsia"/>
          <w:sz w:val="18"/>
          <w:szCs w:val="18"/>
        </w:rPr>
        <w:t>除上述采用简化计量方法和</w:t>
      </w:r>
      <w:proofErr w:type="gramStart"/>
      <w:r>
        <w:rPr>
          <w:rFonts w:hint="eastAsia"/>
          <w:sz w:val="18"/>
          <w:szCs w:val="18"/>
        </w:rPr>
        <w:t>购买或源生</w:t>
      </w:r>
      <w:proofErr w:type="gramEnd"/>
      <w:r>
        <w:rPr>
          <w:rFonts w:hint="eastAsia"/>
          <w:sz w:val="18"/>
          <w:szCs w:val="18"/>
        </w:rPr>
        <w:t>的已发生信用减值以外的其他金融资产，本公司在每个资产负债表日评估相关金融工具的信用风险自初始确认后是否已显著增加，并按照下列情形分别计量其损失准备、确认预期信用损失及其变动：</w:t>
      </w:r>
    </w:p>
    <w:p w:rsidR="00BE788E" w:rsidRDefault="00BE788E" w:rsidP="00B362E5">
      <w:pPr>
        <w:widowControl/>
        <w:numPr>
          <w:ilvl w:val="1"/>
          <w:numId w:val="42"/>
        </w:numPr>
        <w:spacing w:before="100" w:beforeAutospacing="1" w:after="100" w:afterAutospacing="1"/>
        <w:divId w:val="116679010"/>
        <w:rPr>
          <w:sz w:val="18"/>
          <w:szCs w:val="18"/>
        </w:rPr>
      </w:pPr>
      <w:r>
        <w:rPr>
          <w:rFonts w:hint="eastAsia"/>
          <w:sz w:val="18"/>
          <w:szCs w:val="18"/>
        </w:rPr>
        <w:t>如果该金融工具的信用风险自初始确认后并未显著增加，处于第一阶段，则按照相当于该金融工具未来</w:t>
      </w:r>
      <w:r>
        <w:rPr>
          <w:rFonts w:ascii="Times New Roman" w:hAnsi="Times New Roman" w:cs="Times New Roman"/>
          <w:sz w:val="18"/>
          <w:szCs w:val="18"/>
        </w:rPr>
        <w:t>12</w:t>
      </w:r>
      <w:r>
        <w:rPr>
          <w:rFonts w:hint="eastAsia"/>
          <w:sz w:val="18"/>
          <w:szCs w:val="18"/>
        </w:rPr>
        <w:t>个月内预期信用损失的金额计量其损失准备，并按照账面余额和实际利率计算利息收入。</w:t>
      </w:r>
    </w:p>
    <w:p w:rsidR="00BE788E" w:rsidRDefault="00BE788E" w:rsidP="00B362E5">
      <w:pPr>
        <w:widowControl/>
        <w:numPr>
          <w:ilvl w:val="1"/>
          <w:numId w:val="42"/>
        </w:numPr>
        <w:spacing w:before="100" w:beforeAutospacing="1" w:after="100" w:afterAutospacing="1"/>
        <w:divId w:val="116679010"/>
        <w:rPr>
          <w:sz w:val="18"/>
          <w:szCs w:val="18"/>
        </w:rPr>
      </w:pPr>
      <w:r>
        <w:rPr>
          <w:rFonts w:hint="eastAsia"/>
          <w:sz w:val="18"/>
          <w:szCs w:val="18"/>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BE788E" w:rsidRDefault="00BE788E" w:rsidP="00B362E5">
      <w:pPr>
        <w:widowControl/>
        <w:numPr>
          <w:ilvl w:val="1"/>
          <w:numId w:val="42"/>
        </w:numPr>
        <w:spacing w:before="100" w:beforeAutospacing="1" w:after="100" w:afterAutospacing="1"/>
        <w:divId w:val="116679010"/>
        <w:rPr>
          <w:sz w:val="18"/>
          <w:szCs w:val="18"/>
        </w:rPr>
      </w:pPr>
      <w:r>
        <w:rPr>
          <w:rFonts w:hint="eastAsia"/>
          <w:sz w:val="18"/>
          <w:szCs w:val="18"/>
        </w:rPr>
        <w:t>如果该金融工具自初始确认后已经发生信用减值的，处于第三阶段，本公司按照相当于该金融工具整个存续期内预期信用损失的金额计量其损失准备，并按照摊</w:t>
      </w:r>
      <w:proofErr w:type="gramStart"/>
      <w:r>
        <w:rPr>
          <w:rFonts w:hint="eastAsia"/>
          <w:sz w:val="18"/>
          <w:szCs w:val="18"/>
        </w:rPr>
        <w:t>余成本</w:t>
      </w:r>
      <w:proofErr w:type="gramEnd"/>
      <w:r>
        <w:rPr>
          <w:rFonts w:hint="eastAsia"/>
          <w:sz w:val="18"/>
          <w:szCs w:val="18"/>
        </w:rPr>
        <w:t>和实际利率计算利息收入。</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w:t>
      </w:r>
      <w:proofErr w:type="gramStart"/>
      <w:r>
        <w:rPr>
          <w:rFonts w:hint="eastAsia"/>
          <w:sz w:val="18"/>
          <w:szCs w:val="18"/>
        </w:rPr>
        <w:t>日按照</w:t>
      </w:r>
      <w:proofErr w:type="gramEnd"/>
      <w:r>
        <w:rPr>
          <w:rFonts w:hint="eastAsia"/>
          <w:sz w:val="18"/>
          <w:szCs w:val="18"/>
        </w:rPr>
        <w:t>相当于未来</w:t>
      </w:r>
      <w:r>
        <w:rPr>
          <w:rFonts w:ascii="Times New Roman" w:hAnsi="Times New Roman" w:cs="Times New Roman"/>
          <w:sz w:val="18"/>
          <w:szCs w:val="18"/>
        </w:rPr>
        <w:t>12</w:t>
      </w:r>
      <w:r>
        <w:rPr>
          <w:rFonts w:hint="eastAsia"/>
          <w:sz w:val="18"/>
          <w:szCs w:val="18"/>
        </w:rPr>
        <w:t>个月内预期信用损失的金额计量该金融工具的损失准备，由此形成的损失准备的转回金额作为减值利得计入当期损益。</w:t>
      </w:r>
    </w:p>
    <w:p w:rsidR="00BE788E" w:rsidRDefault="00BE788E" w:rsidP="00B362E5">
      <w:pPr>
        <w:widowControl/>
        <w:numPr>
          <w:ilvl w:val="0"/>
          <w:numId w:val="43"/>
        </w:numPr>
        <w:spacing w:before="100" w:beforeAutospacing="1" w:after="100" w:afterAutospacing="1"/>
        <w:divId w:val="116679010"/>
        <w:rPr>
          <w:sz w:val="18"/>
          <w:szCs w:val="18"/>
        </w:rPr>
      </w:pPr>
      <w:r>
        <w:rPr>
          <w:rFonts w:hint="eastAsia"/>
          <w:sz w:val="18"/>
          <w:szCs w:val="18"/>
        </w:rPr>
        <w:t>信用风险显著增加</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本公司在评估信用风险是否显著增加时会考虑如下因素：</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债务人经营成果实际或预期是否发生显著变化；</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债务人所处的监管、经济或技术环境是否发生显著不利变化；</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作为债务抵押的担保物价值或第三方提供的担保或信用增级质量是否发生显著变化，这些变化预期将降低债务人按合同规定期限还款的经济动机或者影响违约概率；</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债务人预期表现和还款行为是否发生显著变化；</w:t>
      </w:r>
    </w:p>
    <w:p w:rsidR="00BE788E" w:rsidRDefault="00BE788E" w:rsidP="00B362E5">
      <w:pPr>
        <w:widowControl/>
        <w:numPr>
          <w:ilvl w:val="0"/>
          <w:numId w:val="44"/>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本公司对金融工具信用管理方法是否发生变化等。</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w:t>
      </w:r>
      <w:r>
        <w:rPr>
          <w:rFonts w:hint="eastAsia"/>
          <w:sz w:val="18"/>
          <w:szCs w:val="18"/>
        </w:rPr>
        <w:lastRenderedPageBreak/>
        <w:t>时期内经济形势和经营环境存在不利变化，但未必一定降低借款人履行其合同现金流量义务的能力，则该金融工具被视为具有较低的信用风险。</w:t>
      </w:r>
    </w:p>
    <w:p w:rsidR="00BE788E" w:rsidRDefault="00BE788E" w:rsidP="00B362E5">
      <w:pPr>
        <w:widowControl/>
        <w:numPr>
          <w:ilvl w:val="0"/>
          <w:numId w:val="45"/>
        </w:numPr>
        <w:spacing w:before="100" w:beforeAutospacing="1" w:after="100" w:afterAutospacing="1"/>
        <w:divId w:val="116679010"/>
        <w:rPr>
          <w:sz w:val="18"/>
          <w:szCs w:val="18"/>
        </w:rPr>
      </w:pPr>
      <w:r>
        <w:rPr>
          <w:rFonts w:hint="eastAsia"/>
          <w:sz w:val="18"/>
          <w:szCs w:val="18"/>
        </w:rPr>
        <w:t>已发生信用减值的金融资产</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当对金融资产预期未来现金流量具有不利影响的一项或多项事件发生时，该金融资产成为已发生信用减值的金融资产。金融资产已发生信用减值的证据包括下列可观察信息：</w:t>
      </w:r>
    </w:p>
    <w:p w:rsidR="00BE788E" w:rsidRDefault="00BE788E" w:rsidP="00B362E5">
      <w:pPr>
        <w:widowControl/>
        <w:numPr>
          <w:ilvl w:val="0"/>
          <w:numId w:val="46"/>
        </w:numPr>
        <w:spacing w:before="100" w:beforeAutospacing="1" w:after="100" w:afterAutospacing="1"/>
        <w:divId w:val="116679010"/>
        <w:rPr>
          <w:sz w:val="18"/>
          <w:szCs w:val="18"/>
        </w:rPr>
      </w:pP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发行方或债务人发生重大财务困难；</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债务人违反合同，如偿付利息或本金违约或逾期等；</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债权人出于与债务人财务困难有关的经济或合同考虑，给予债务人在任何其他情况下都不会做出的让步；</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债务人很可能破产或进行其他财务重组；</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发行方或债务人财务困难导致该金融资产的活跃市场消失；</w:t>
      </w:r>
    </w:p>
    <w:p w:rsidR="00BE788E" w:rsidRDefault="00BE788E" w:rsidP="00B362E5">
      <w:pPr>
        <w:widowControl/>
        <w:numPr>
          <w:ilvl w:val="1"/>
          <w:numId w:val="46"/>
        </w:numPr>
        <w:spacing w:before="100" w:beforeAutospacing="1" w:after="100" w:afterAutospacing="1"/>
        <w:divId w:val="1166790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以大幅折扣</w:t>
      </w:r>
      <w:proofErr w:type="gramStart"/>
      <w:r>
        <w:rPr>
          <w:rFonts w:hint="eastAsia"/>
          <w:sz w:val="18"/>
          <w:szCs w:val="18"/>
        </w:rPr>
        <w:t>购买或源生</w:t>
      </w:r>
      <w:proofErr w:type="gramEnd"/>
      <w:r>
        <w:rPr>
          <w:rFonts w:hint="eastAsia"/>
          <w:sz w:val="18"/>
          <w:szCs w:val="18"/>
        </w:rPr>
        <w:t>一项金融资产，该折扣反映了发生信用损失的事实。</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金融资产发生信用减值，有可能是多个事件的共同作用所致，未必是可单独识别的事件所致。</w:t>
      </w:r>
    </w:p>
    <w:p w:rsidR="00BE788E" w:rsidRDefault="00BE788E" w:rsidP="00B362E5">
      <w:pPr>
        <w:widowControl/>
        <w:numPr>
          <w:ilvl w:val="0"/>
          <w:numId w:val="47"/>
        </w:numPr>
        <w:spacing w:before="100" w:beforeAutospacing="1" w:after="100" w:afterAutospacing="1"/>
        <w:divId w:val="116679010"/>
        <w:rPr>
          <w:sz w:val="18"/>
          <w:szCs w:val="18"/>
        </w:rPr>
      </w:pPr>
      <w:r>
        <w:rPr>
          <w:rFonts w:hint="eastAsia"/>
          <w:sz w:val="18"/>
          <w:szCs w:val="18"/>
        </w:rPr>
        <w:t>预期信用损失的确定</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本公司基于单项和组合评估金融工具的预期信用损失，在评估预期信用损失时，考虑有关过去事项、当前状况以及未来经济状况预测的合理且有依据的信息。</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本公司以共同信用风险特征为依据，将金融工具分为不同组合。本公司采用的共同信用风险特征包括：金融工具类型、信用风险评级、账龄组合、逾期</w:t>
      </w:r>
      <w:proofErr w:type="gramStart"/>
      <w:r>
        <w:rPr>
          <w:rFonts w:hint="eastAsia"/>
          <w:sz w:val="18"/>
          <w:szCs w:val="18"/>
        </w:rPr>
        <w:t>账</w:t>
      </w:r>
      <w:proofErr w:type="gramEnd"/>
      <w:r>
        <w:rPr>
          <w:rFonts w:hint="eastAsia"/>
          <w:sz w:val="18"/>
          <w:szCs w:val="18"/>
        </w:rPr>
        <w:t>龄组合、合同结算周期、债务人所处行业等。相关金融工具的单项评估标准和组合信用风险特征详见相关金融工具的会计政策。</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本公司按照下列方法确定相关金融工具的预期信用损失：</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1</w:t>
      </w:r>
      <w:r>
        <w:rPr>
          <w:rFonts w:hint="eastAsia"/>
          <w:sz w:val="18"/>
          <w:szCs w:val="18"/>
        </w:rPr>
        <w:t>）对于金融资产，信用损失为本公司应收取的合同现金流量与预期收取的现金流量之间差额的现值。</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2</w:t>
      </w:r>
      <w:r>
        <w:rPr>
          <w:rFonts w:hint="eastAsia"/>
          <w:sz w:val="18"/>
          <w:szCs w:val="18"/>
        </w:rPr>
        <w:t>）对于租赁应收款项，信用损失为本公司应收取的合同现金流量与预期收取的现金流量之间差额的现值。</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3</w:t>
      </w:r>
      <w:r>
        <w:rPr>
          <w:rFonts w:hint="eastAsia"/>
          <w:sz w:val="18"/>
          <w:szCs w:val="18"/>
        </w:rPr>
        <w:t>）对于财务担保合同，信用损失为本公司就该合同持有人发生的信用损失向其做出赔付的预计付款额，减去本公司预期向该合同持有人、债务人或任何其他方收取的金额之间差额的现值。</w:t>
      </w:r>
    </w:p>
    <w:p w:rsidR="00BE788E" w:rsidRDefault="00BE788E" w:rsidP="00B362E5">
      <w:pPr>
        <w:pStyle w:val="a3"/>
        <w:spacing w:before="0" w:beforeAutospacing="0" w:after="0" w:afterAutospacing="0"/>
        <w:ind w:firstLine="420"/>
        <w:jc w:val="both"/>
        <w:divId w:val="116679010"/>
        <w:rPr>
          <w:sz w:val="21"/>
          <w:szCs w:val="21"/>
        </w:rPr>
      </w:pPr>
      <w:r>
        <w:rPr>
          <w:rFonts w:ascii="Times New Roman" w:hAnsi="Times New Roman" w:cs="Times New Roman"/>
          <w:sz w:val="18"/>
          <w:szCs w:val="18"/>
        </w:rPr>
        <w:t>4</w:t>
      </w:r>
      <w:r>
        <w:rPr>
          <w:rFonts w:hint="eastAsia"/>
          <w:sz w:val="18"/>
          <w:szCs w:val="18"/>
        </w:rPr>
        <w:t>）对于资产负债表日已发生信用减值但并非</w:t>
      </w:r>
      <w:proofErr w:type="gramStart"/>
      <w:r>
        <w:rPr>
          <w:rFonts w:hint="eastAsia"/>
          <w:sz w:val="18"/>
          <w:szCs w:val="18"/>
        </w:rPr>
        <w:t>购买或源生</w:t>
      </w:r>
      <w:proofErr w:type="gramEnd"/>
      <w:r>
        <w:rPr>
          <w:rFonts w:hint="eastAsia"/>
          <w:sz w:val="18"/>
          <w:szCs w:val="18"/>
        </w:rPr>
        <w:t>已发生信用减值的金融资产，信用损失为该金融资产账面余额与按</w:t>
      </w:r>
      <w:proofErr w:type="gramStart"/>
      <w:r>
        <w:rPr>
          <w:rFonts w:hint="eastAsia"/>
          <w:sz w:val="18"/>
          <w:szCs w:val="18"/>
        </w:rPr>
        <w:t>原实际</w:t>
      </w:r>
      <w:proofErr w:type="gramEnd"/>
      <w:r>
        <w:rPr>
          <w:rFonts w:hint="eastAsia"/>
          <w:sz w:val="18"/>
          <w:szCs w:val="18"/>
        </w:rPr>
        <w:t>利率折现的估计未来现金流量的现值之间的差额。</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BE788E" w:rsidRDefault="00BE788E" w:rsidP="00B362E5">
      <w:pPr>
        <w:widowControl/>
        <w:numPr>
          <w:ilvl w:val="0"/>
          <w:numId w:val="48"/>
        </w:numPr>
        <w:spacing w:before="100" w:beforeAutospacing="1" w:after="100" w:afterAutospacing="1"/>
        <w:divId w:val="116679010"/>
        <w:rPr>
          <w:sz w:val="18"/>
          <w:szCs w:val="18"/>
        </w:rPr>
      </w:pPr>
      <w:proofErr w:type="gramStart"/>
      <w:r>
        <w:rPr>
          <w:rFonts w:hint="eastAsia"/>
          <w:sz w:val="18"/>
          <w:szCs w:val="18"/>
        </w:rPr>
        <w:t>减记金融资产</w:t>
      </w:r>
      <w:proofErr w:type="gramEnd"/>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当本公司不再合理预期金融资产合同现金流量能够全部或部分收回的，直接</w:t>
      </w:r>
      <w:proofErr w:type="gramStart"/>
      <w:r>
        <w:rPr>
          <w:rFonts w:hint="eastAsia"/>
          <w:sz w:val="18"/>
          <w:szCs w:val="18"/>
        </w:rPr>
        <w:t>减记该</w:t>
      </w:r>
      <w:proofErr w:type="gramEnd"/>
      <w:r>
        <w:rPr>
          <w:rFonts w:hint="eastAsia"/>
          <w:sz w:val="18"/>
          <w:szCs w:val="18"/>
        </w:rPr>
        <w:t>金融资产的账面余额。这种</w:t>
      </w:r>
      <w:proofErr w:type="gramStart"/>
      <w:r>
        <w:rPr>
          <w:rFonts w:hint="eastAsia"/>
          <w:sz w:val="18"/>
          <w:szCs w:val="18"/>
        </w:rPr>
        <w:t>减记构成</w:t>
      </w:r>
      <w:proofErr w:type="gramEnd"/>
      <w:r>
        <w:rPr>
          <w:rFonts w:hint="eastAsia"/>
          <w:sz w:val="18"/>
          <w:szCs w:val="18"/>
        </w:rPr>
        <w:t>相关金融资产的终止确认。</w:t>
      </w:r>
    </w:p>
    <w:p w:rsidR="00BE788E" w:rsidRDefault="00BE788E" w:rsidP="00B362E5">
      <w:pPr>
        <w:widowControl/>
        <w:numPr>
          <w:ilvl w:val="0"/>
          <w:numId w:val="49"/>
        </w:numPr>
        <w:spacing w:before="100" w:beforeAutospacing="1" w:after="100" w:afterAutospacing="1"/>
        <w:divId w:val="116679010"/>
        <w:rPr>
          <w:sz w:val="18"/>
          <w:szCs w:val="18"/>
        </w:rPr>
      </w:pPr>
      <w:r>
        <w:rPr>
          <w:rFonts w:hint="eastAsia"/>
          <w:sz w:val="18"/>
          <w:szCs w:val="18"/>
        </w:rPr>
        <w:t>金融资产及金融负债的</w:t>
      </w:r>
      <w:proofErr w:type="gramStart"/>
      <w:r>
        <w:rPr>
          <w:rFonts w:hint="eastAsia"/>
          <w:sz w:val="18"/>
          <w:szCs w:val="18"/>
        </w:rPr>
        <w:t>抵销</w:t>
      </w:r>
      <w:proofErr w:type="gramEnd"/>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lastRenderedPageBreak/>
        <w:t>金融资产和金融负债在资产负债表内分别列示，没有相互</w:t>
      </w:r>
      <w:proofErr w:type="gramStart"/>
      <w:r>
        <w:rPr>
          <w:rFonts w:hint="eastAsia"/>
          <w:sz w:val="18"/>
          <w:szCs w:val="18"/>
        </w:rPr>
        <w:t>抵销</w:t>
      </w:r>
      <w:proofErr w:type="gramEnd"/>
      <w:r>
        <w:rPr>
          <w:rFonts w:hint="eastAsia"/>
          <w:sz w:val="18"/>
          <w:szCs w:val="18"/>
        </w:rPr>
        <w:t>。但是，同时满足下列条件的，以相互</w:t>
      </w:r>
      <w:proofErr w:type="gramStart"/>
      <w:r>
        <w:rPr>
          <w:rFonts w:hint="eastAsia"/>
          <w:sz w:val="18"/>
          <w:szCs w:val="18"/>
        </w:rPr>
        <w:t>抵销</w:t>
      </w:r>
      <w:proofErr w:type="gramEnd"/>
      <w:r>
        <w:rPr>
          <w:rFonts w:hint="eastAsia"/>
          <w:sz w:val="18"/>
          <w:szCs w:val="18"/>
        </w:rPr>
        <w:t>后的净额在资产负债表内列示：</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）本公司具有</w:t>
      </w:r>
      <w:proofErr w:type="gramStart"/>
      <w:r>
        <w:rPr>
          <w:rFonts w:hint="eastAsia"/>
          <w:sz w:val="18"/>
          <w:szCs w:val="18"/>
        </w:rPr>
        <w:t>抵销</w:t>
      </w:r>
      <w:proofErr w:type="gramEnd"/>
      <w:r>
        <w:rPr>
          <w:rFonts w:hint="eastAsia"/>
          <w:sz w:val="18"/>
          <w:szCs w:val="18"/>
        </w:rPr>
        <w:t>已确认金额的法定权利，且该种法定权利是当前可执行的；</w:t>
      </w:r>
    </w:p>
    <w:p w:rsidR="00BE788E" w:rsidRDefault="00BE788E" w:rsidP="00B362E5">
      <w:pPr>
        <w:pStyle w:val="a3"/>
        <w:spacing w:before="0" w:beforeAutospacing="0" w:after="0" w:afterAutospacing="0"/>
        <w:ind w:firstLine="420"/>
        <w:jc w:val="both"/>
        <w:divId w:val="11667901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）本公司计划以净额结算，或同时变现该金融资产和清偿该金融负债。</w:t>
      </w:r>
    </w:p>
    <w:p w:rsidR="00037019" w:rsidRDefault="00BE788E">
      <w:pPr>
        <w:pStyle w:val="3"/>
        <w:spacing w:line="280" w:lineRule="exact"/>
        <w:jc w:val="left"/>
        <w:rPr>
          <w:rFonts w:ascii="宋体" w:hAnsi="宋体" w:cs="宋体"/>
          <w:b/>
          <w:bCs/>
        </w:rPr>
      </w:pPr>
      <w:bookmarkStart w:id="129" w:name="_Toc989018"/>
      <w:r>
        <w:rPr>
          <w:rFonts w:ascii="宋体" w:hAnsi="宋体" w:cs="宋体"/>
          <w:b/>
          <w:bCs/>
        </w:rPr>
        <w:t>12、应收票据</w:t>
      </w:r>
      <w:bookmarkEnd w:id="129"/>
    </w:p>
    <w:p w:rsidR="00BE788E" w:rsidRPr="00B362E5" w:rsidRDefault="00BE788E" w:rsidP="00B362E5">
      <w:pPr>
        <w:pStyle w:val="a3"/>
        <w:spacing w:before="0" w:beforeAutospacing="0" w:after="0" w:afterAutospacing="0"/>
        <w:ind w:firstLine="420"/>
        <w:jc w:val="both"/>
        <w:divId w:val="1107503604"/>
        <w:rPr>
          <w:rFonts w:asciiTheme="minorEastAsia" w:eastAsiaTheme="minorEastAsia" w:hAnsiTheme="minorEastAsia"/>
        </w:rPr>
      </w:pPr>
      <w:r w:rsidRPr="00B362E5">
        <w:rPr>
          <w:rFonts w:asciiTheme="minorEastAsia" w:eastAsiaTheme="minorEastAsia" w:hAnsiTheme="minorEastAsia" w:hint="eastAsia"/>
          <w:sz w:val="18"/>
          <w:szCs w:val="18"/>
        </w:rPr>
        <w:t>本公司对应收票据的预期信用损失的确定方法及会计处理方法详见（五）重要会计政策及会计估计</w:t>
      </w:r>
      <w:r w:rsidRPr="00B362E5">
        <w:rPr>
          <w:rFonts w:asciiTheme="minorEastAsia" w:eastAsiaTheme="minorEastAsia" w:hAnsiTheme="minorEastAsia" w:cs="Times New Roman"/>
          <w:sz w:val="18"/>
          <w:szCs w:val="18"/>
        </w:rPr>
        <w:t>11.</w:t>
      </w:r>
      <w:r w:rsidRPr="00B362E5">
        <w:rPr>
          <w:rFonts w:asciiTheme="minorEastAsia" w:eastAsiaTheme="minorEastAsia" w:hAnsiTheme="minorEastAsia" w:hint="eastAsia"/>
          <w:sz w:val="18"/>
          <w:szCs w:val="18"/>
        </w:rPr>
        <w:t>金融工具减值。</w:t>
      </w:r>
    </w:p>
    <w:p w:rsidR="00BE788E" w:rsidRPr="00B362E5" w:rsidRDefault="00BE788E" w:rsidP="00B362E5">
      <w:pPr>
        <w:pStyle w:val="a3"/>
        <w:spacing w:before="0" w:beforeAutospacing="0" w:after="0" w:afterAutospacing="0"/>
        <w:ind w:firstLine="420"/>
        <w:jc w:val="both"/>
        <w:divId w:val="1107503604"/>
        <w:rPr>
          <w:rFonts w:asciiTheme="minorEastAsia" w:eastAsiaTheme="minorEastAsia" w:hAnsiTheme="minorEastAsia"/>
        </w:rPr>
      </w:pPr>
      <w:r w:rsidRPr="00B362E5">
        <w:rPr>
          <w:rFonts w:asciiTheme="minorEastAsia" w:eastAsiaTheme="minorEastAsia" w:hAnsiTheme="minorEastAsia" w:hint="eastAsia"/>
          <w:sz w:val="18"/>
          <w:szCs w:val="18"/>
        </w:rPr>
        <w:t>本公司对单项金额重大且在初始确认后已经发生信用减值的应收票据单独确定其信用损失。</w:t>
      </w:r>
    </w:p>
    <w:p w:rsidR="00BE788E" w:rsidRPr="00B362E5" w:rsidRDefault="00BE788E" w:rsidP="00B362E5">
      <w:pPr>
        <w:pStyle w:val="a3"/>
        <w:spacing w:before="0" w:beforeAutospacing="0" w:after="0" w:afterAutospacing="0"/>
        <w:ind w:firstLine="420"/>
        <w:jc w:val="both"/>
        <w:divId w:val="1107503604"/>
        <w:rPr>
          <w:rFonts w:asciiTheme="minorEastAsia" w:eastAsiaTheme="minorEastAsia" w:hAnsiTheme="minorEastAsia"/>
        </w:rPr>
      </w:pPr>
      <w:r w:rsidRPr="00B362E5">
        <w:rPr>
          <w:rFonts w:asciiTheme="minorEastAsia" w:eastAsiaTheme="minorEastAsia" w:hAnsiTheme="minorEastAsia" w:hint="eastAsia"/>
          <w:sz w:val="18"/>
          <w:szCs w:val="18"/>
        </w:rPr>
        <w:t>当在单项工具层面无法以合理成本评估预期信用损失的充分证据时，本公司参考历史信用损失经验，结合当前状况以及对未来经济状况的判断，依据信用风险特征将</w:t>
      </w:r>
      <w:r w:rsidRPr="00B362E5">
        <w:rPr>
          <w:rFonts w:asciiTheme="minorEastAsia" w:eastAsiaTheme="minorEastAsia" w:hAnsiTheme="minorEastAsia" w:cs="Times New Roman"/>
          <w:sz w:val="18"/>
          <w:szCs w:val="18"/>
        </w:rPr>
        <w:t xml:space="preserve">    </w:t>
      </w:r>
      <w:r w:rsidRPr="00B362E5">
        <w:rPr>
          <w:rFonts w:asciiTheme="minorEastAsia" w:eastAsiaTheme="minorEastAsia" w:hAnsiTheme="minorEastAsia" w:hint="eastAsia"/>
          <w:sz w:val="18"/>
          <w:szCs w:val="18"/>
        </w:rPr>
        <w:t>应收票据划分为若干组合，在组合基础上计算预期信用损失。确定组合的依据如下：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5|0|desc|||0|1"/>
      </w:tblPr>
      <w:tblGrid>
        <w:gridCol w:w="1384"/>
        <w:gridCol w:w="5337"/>
        <w:gridCol w:w="3132"/>
      </w:tblGrid>
      <w:tr w:rsidR="00BE788E" w:rsidTr="00B362E5">
        <w:trPr>
          <w:divId w:val="1107503604"/>
          <w:trHeight w:val="340"/>
        </w:trPr>
        <w:tc>
          <w:tcPr>
            <w:tcW w:w="1384"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5337"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313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rsidTr="00B362E5">
        <w:trPr>
          <w:divId w:val="1107503604"/>
          <w:trHeight w:val="340"/>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pPr>
            <w:r>
              <w:rPr>
                <w:rFonts w:hint="eastAsia"/>
                <w:sz w:val="18"/>
                <w:szCs w:val="18"/>
              </w:rPr>
              <w:t>银行承兑汇票组合</w:t>
            </w:r>
          </w:p>
        </w:tc>
        <w:tc>
          <w:tcPr>
            <w:tcW w:w="5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出票人具有较高的信用评级，历史上未发生票据违约，信用损失风险极低，在短期内履行其支付合同现金流量义务的能力很强</w:t>
            </w:r>
          </w:p>
        </w:tc>
        <w:tc>
          <w:tcPr>
            <w:tcW w:w="3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参考历史信用损失经验不计提坏账准备</w:t>
            </w:r>
          </w:p>
        </w:tc>
      </w:tr>
      <w:tr w:rsidR="00BE788E" w:rsidTr="00B362E5">
        <w:trPr>
          <w:divId w:val="1107503604"/>
          <w:trHeight w:val="340"/>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pPr>
            <w:r>
              <w:rPr>
                <w:rFonts w:hint="eastAsia"/>
                <w:sz w:val="18"/>
                <w:szCs w:val="18"/>
              </w:rPr>
              <w:t>商业承兑汇票组合</w:t>
            </w:r>
          </w:p>
        </w:tc>
        <w:tc>
          <w:tcPr>
            <w:tcW w:w="5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在以前年度实际损失率、对未来回收应收票据风险的判断及信用风险特征分析</w:t>
            </w:r>
          </w:p>
        </w:tc>
        <w:tc>
          <w:tcPr>
            <w:tcW w:w="3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按照预期损失率计提减值准，与应收账款的组合划分相同</w:t>
            </w:r>
          </w:p>
        </w:tc>
      </w:tr>
    </w:tbl>
    <w:p w:rsidR="00037019" w:rsidRDefault="00BE788E">
      <w:pPr>
        <w:pStyle w:val="3"/>
        <w:spacing w:line="280" w:lineRule="exact"/>
        <w:jc w:val="left"/>
        <w:rPr>
          <w:rFonts w:ascii="宋体" w:hAnsi="宋体" w:cs="宋体"/>
          <w:b/>
          <w:bCs/>
        </w:rPr>
      </w:pPr>
      <w:bookmarkStart w:id="130" w:name="_Toc989019"/>
      <w:r>
        <w:rPr>
          <w:rFonts w:ascii="宋体" w:hAnsi="宋体" w:cs="宋体"/>
          <w:b/>
          <w:bCs/>
        </w:rPr>
        <w:t>13、应收账款</w:t>
      </w:r>
      <w:bookmarkEnd w:id="130"/>
    </w:p>
    <w:p w:rsidR="00BE788E" w:rsidRDefault="00BE788E" w:rsidP="00B362E5">
      <w:pPr>
        <w:pStyle w:val="a3"/>
        <w:spacing w:before="0" w:beforeAutospacing="0" w:after="0" w:afterAutospacing="0"/>
        <w:ind w:firstLine="420"/>
        <w:jc w:val="both"/>
        <w:divId w:val="1400521917"/>
      </w:pPr>
      <w:r>
        <w:rPr>
          <w:rFonts w:hint="eastAsia"/>
          <w:sz w:val="18"/>
          <w:szCs w:val="18"/>
        </w:rPr>
        <w:t>本公司对应收账款的预期信用损失的确定方法及会计处理方法详见（五）重要会计政策及会计估计</w:t>
      </w:r>
      <w:r>
        <w:rPr>
          <w:rFonts w:ascii="Times New Roman" w:hAnsi="Times New Roman" w:cs="Times New Roman"/>
          <w:sz w:val="18"/>
          <w:szCs w:val="18"/>
        </w:rPr>
        <w:t>11.</w:t>
      </w:r>
      <w:r>
        <w:rPr>
          <w:rFonts w:hint="eastAsia"/>
          <w:sz w:val="18"/>
          <w:szCs w:val="18"/>
        </w:rPr>
        <w:t>金融工具减值。</w:t>
      </w:r>
    </w:p>
    <w:p w:rsidR="00BE788E" w:rsidRDefault="00BE788E" w:rsidP="00B362E5">
      <w:pPr>
        <w:pStyle w:val="a3"/>
        <w:spacing w:before="0" w:beforeAutospacing="0" w:after="0" w:afterAutospacing="0"/>
        <w:ind w:firstLine="420"/>
        <w:jc w:val="both"/>
        <w:divId w:val="1400521917"/>
      </w:pPr>
      <w:r>
        <w:rPr>
          <w:rFonts w:hint="eastAsia"/>
          <w:sz w:val="18"/>
          <w:szCs w:val="18"/>
        </w:rPr>
        <w:t>本公司对单项金额重大且在初始确认后已经发生信用减值的应收账款单独确定其信用损失。</w:t>
      </w:r>
    </w:p>
    <w:p w:rsidR="00BE788E" w:rsidRDefault="00BE788E" w:rsidP="00B362E5">
      <w:pPr>
        <w:pStyle w:val="a3"/>
        <w:spacing w:before="0" w:beforeAutospacing="0" w:after="0" w:afterAutospacing="0"/>
        <w:ind w:firstLine="420"/>
        <w:jc w:val="both"/>
        <w:divId w:val="1400521917"/>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6|0|desc|||0|1"/>
      </w:tblPr>
      <w:tblGrid>
        <w:gridCol w:w="1242"/>
        <w:gridCol w:w="4395"/>
        <w:gridCol w:w="4216"/>
      </w:tblGrid>
      <w:tr w:rsidR="00BE788E">
        <w:trPr>
          <w:divId w:val="1400521917"/>
          <w:trHeight w:val="340"/>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4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trPr>
          <w:divId w:val="1400521917"/>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风险组合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本组合以应收账款的账</w:t>
            </w:r>
            <w:proofErr w:type="gramStart"/>
            <w:r>
              <w:rPr>
                <w:rFonts w:hint="eastAsia"/>
                <w:sz w:val="18"/>
                <w:szCs w:val="18"/>
              </w:rPr>
              <w:t>龄作为</w:t>
            </w:r>
            <w:proofErr w:type="gramEnd"/>
            <w:r>
              <w:rPr>
                <w:rFonts w:hint="eastAsia"/>
                <w:sz w:val="18"/>
                <w:szCs w:val="18"/>
              </w:rPr>
              <w:t>信用风险特征</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参考历史信用损失经验，结合当前状况以及对未来经济状况的预期计量坏账准备</w:t>
            </w:r>
          </w:p>
        </w:tc>
      </w:tr>
      <w:tr w:rsidR="00BE788E">
        <w:trPr>
          <w:divId w:val="1400521917"/>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性质组合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根据业务性质，认定无信用风险，主要包括合并范围内关联方的款项、信用证结算的销售货款</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bl>
    <w:p w:rsidR="00037019" w:rsidRDefault="00BE788E">
      <w:pPr>
        <w:pStyle w:val="3"/>
        <w:spacing w:line="280" w:lineRule="exact"/>
        <w:jc w:val="left"/>
        <w:rPr>
          <w:rFonts w:ascii="宋体" w:hAnsi="宋体" w:cs="宋体"/>
          <w:b/>
          <w:bCs/>
        </w:rPr>
      </w:pPr>
      <w:bookmarkStart w:id="131" w:name="_Toc989020"/>
      <w:r>
        <w:rPr>
          <w:rFonts w:ascii="宋体" w:hAnsi="宋体" w:cs="宋体"/>
          <w:b/>
          <w:bCs/>
        </w:rPr>
        <w:t>14、应收款项融资</w:t>
      </w:r>
      <w:bookmarkEnd w:id="131"/>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分类为以公允价值计量且其变动计入其他综合收益的应收票据和应收账款，自初始确认日起到期期限在一年内（含一年）的，列示为应收款项融资；自初始确认日起到期期限在一年以上的，列示为其他债权投资。其相关会计政策详见（五）重要会计政策及会计估计。</w:t>
      </w:r>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本公司对应收款项融资的预期信用损失的确定方法及会计处理方法详见（五）重要会计政策及会计估计</w:t>
      </w:r>
      <w:r w:rsidRPr="00B362E5">
        <w:rPr>
          <w:sz w:val="18"/>
          <w:szCs w:val="18"/>
        </w:rPr>
        <w:t>11.</w:t>
      </w:r>
      <w:r>
        <w:rPr>
          <w:rFonts w:hint="eastAsia"/>
          <w:sz w:val="18"/>
          <w:szCs w:val="18"/>
        </w:rPr>
        <w:t>金融工具减值。</w:t>
      </w:r>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本公司对单项金额重大且在初始确认后已经发生信用减值的应收款项融资单独确定其信用损失。</w:t>
      </w:r>
    </w:p>
    <w:p w:rsidR="00BE788E" w:rsidRPr="00B362E5" w:rsidRDefault="00BE788E" w:rsidP="00B362E5">
      <w:pPr>
        <w:pStyle w:val="a3"/>
        <w:spacing w:before="0" w:beforeAutospacing="0" w:after="0" w:afterAutospacing="0"/>
        <w:ind w:firstLine="420"/>
        <w:jc w:val="both"/>
        <w:divId w:val="720634603"/>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w:t>
      </w:r>
    </w:p>
    <w:p w:rsidR="00037019" w:rsidRDefault="00BE788E">
      <w:pPr>
        <w:pStyle w:val="3"/>
        <w:spacing w:line="280" w:lineRule="exact"/>
        <w:jc w:val="left"/>
        <w:rPr>
          <w:rFonts w:ascii="宋体" w:hAnsi="宋体" w:cs="宋体"/>
          <w:b/>
          <w:bCs/>
        </w:rPr>
      </w:pPr>
      <w:bookmarkStart w:id="132" w:name="_Toc989021"/>
      <w:r>
        <w:rPr>
          <w:rFonts w:ascii="宋体" w:hAnsi="宋体" w:cs="宋体"/>
          <w:b/>
          <w:bCs/>
        </w:rPr>
        <w:lastRenderedPageBreak/>
        <w:t>15、其他应收款</w:t>
      </w:r>
      <w:bookmarkEnd w:id="132"/>
    </w:p>
    <w:p w:rsidR="00037019" w:rsidRDefault="00BE788E" w:rsidP="00B362E5">
      <w:pPr>
        <w:pStyle w:val="a3"/>
        <w:spacing w:before="0" w:beforeAutospacing="0" w:after="0" w:afterAutospacing="0"/>
        <w:ind w:firstLine="420"/>
        <w:jc w:val="both"/>
        <w:rPr>
          <w:sz w:val="18"/>
          <w:szCs w:val="18"/>
        </w:rPr>
      </w:pPr>
      <w:r>
        <w:rPr>
          <w:sz w:val="18"/>
          <w:szCs w:val="18"/>
        </w:rPr>
        <w:t>其他应收款的预期信用损失的确定方法及会计处理方法</w:t>
      </w:r>
    </w:p>
    <w:p w:rsidR="00BE788E" w:rsidRPr="00B362E5" w:rsidRDefault="00BE788E" w:rsidP="00B362E5">
      <w:pPr>
        <w:pStyle w:val="a3"/>
        <w:spacing w:before="0" w:beforeAutospacing="0" w:after="0" w:afterAutospacing="0"/>
        <w:ind w:firstLine="420"/>
        <w:jc w:val="both"/>
        <w:divId w:val="206841309"/>
        <w:rPr>
          <w:sz w:val="18"/>
          <w:szCs w:val="18"/>
        </w:rPr>
      </w:pPr>
      <w:r>
        <w:rPr>
          <w:rFonts w:hint="eastAsia"/>
          <w:sz w:val="18"/>
          <w:szCs w:val="18"/>
        </w:rPr>
        <w:t>本公司对其他应收款的预期信用损失的确定方法及会计处理方法详见（五）重要会计政策及会计估计</w:t>
      </w:r>
      <w:r w:rsidRPr="00B362E5">
        <w:rPr>
          <w:sz w:val="18"/>
          <w:szCs w:val="18"/>
        </w:rPr>
        <w:t>11.</w:t>
      </w:r>
      <w:r>
        <w:rPr>
          <w:rFonts w:hint="eastAsia"/>
          <w:sz w:val="18"/>
          <w:szCs w:val="18"/>
        </w:rPr>
        <w:t>金融工具减值。</w:t>
      </w:r>
    </w:p>
    <w:p w:rsidR="00BE788E" w:rsidRPr="00B362E5" w:rsidRDefault="00BE788E" w:rsidP="00B362E5">
      <w:pPr>
        <w:pStyle w:val="a3"/>
        <w:spacing w:before="0" w:beforeAutospacing="0" w:after="0" w:afterAutospacing="0"/>
        <w:ind w:firstLine="420"/>
        <w:jc w:val="both"/>
        <w:divId w:val="206841309"/>
        <w:rPr>
          <w:sz w:val="18"/>
          <w:szCs w:val="18"/>
        </w:rPr>
      </w:pPr>
      <w:r>
        <w:rPr>
          <w:rFonts w:hint="eastAsia"/>
          <w:sz w:val="18"/>
          <w:szCs w:val="18"/>
        </w:rPr>
        <w:t>本公司对单项金额重大且在初始确认后已经发生信用减值的其他应收款单独确定其信用损失。</w:t>
      </w:r>
    </w:p>
    <w:p w:rsidR="00BE788E" w:rsidRPr="00B362E5" w:rsidRDefault="00BE788E" w:rsidP="00B362E5">
      <w:pPr>
        <w:pStyle w:val="a3"/>
        <w:spacing w:before="0" w:beforeAutospacing="0" w:after="0" w:afterAutospacing="0"/>
        <w:ind w:firstLine="420"/>
        <w:jc w:val="both"/>
        <w:divId w:val="206841309"/>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8|0|desc|||0|1"/>
      </w:tblPr>
      <w:tblGrid>
        <w:gridCol w:w="959"/>
        <w:gridCol w:w="4252"/>
        <w:gridCol w:w="4642"/>
      </w:tblGrid>
      <w:tr w:rsidR="00BE788E" w:rsidTr="00B362E5">
        <w:trPr>
          <w:divId w:val="206841309"/>
          <w:trHeight w:val="340"/>
        </w:trPr>
        <w:tc>
          <w:tcPr>
            <w:tcW w:w="959"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425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464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rsidTr="00B362E5">
        <w:trPr>
          <w:divId w:val="206841309"/>
          <w:trHeight w:val="340"/>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风险组合</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本组合以其他应收款的账</w:t>
            </w:r>
            <w:proofErr w:type="gramStart"/>
            <w:r>
              <w:rPr>
                <w:rFonts w:hint="eastAsia"/>
                <w:sz w:val="18"/>
                <w:szCs w:val="18"/>
              </w:rPr>
              <w:t>龄作为</w:t>
            </w:r>
            <w:proofErr w:type="gramEnd"/>
            <w:r>
              <w:rPr>
                <w:rFonts w:hint="eastAsia"/>
                <w:sz w:val="18"/>
                <w:szCs w:val="18"/>
              </w:rPr>
              <w:t>信用风险特征</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r w:rsidR="00BE788E" w:rsidTr="00B362E5">
        <w:trPr>
          <w:divId w:val="206841309"/>
          <w:trHeight w:val="340"/>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性质组合</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根据业务性质，主要包括合并范围内关联方、出口退税款等</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bl>
    <w:p w:rsidR="00037019" w:rsidRDefault="00BE788E">
      <w:pPr>
        <w:pStyle w:val="3"/>
        <w:spacing w:line="280" w:lineRule="exact"/>
        <w:jc w:val="left"/>
        <w:rPr>
          <w:rFonts w:ascii="宋体" w:hAnsi="宋体" w:cs="宋体"/>
          <w:b/>
          <w:bCs/>
        </w:rPr>
      </w:pPr>
      <w:bookmarkStart w:id="133" w:name="_Toc989022"/>
      <w:r>
        <w:rPr>
          <w:rFonts w:ascii="宋体" w:hAnsi="宋体" w:cs="宋体"/>
          <w:b/>
          <w:bCs/>
        </w:rPr>
        <w:t>16、合同资产</w:t>
      </w:r>
      <w:bookmarkEnd w:id="133"/>
    </w:p>
    <w:p w:rsidR="00BE788E" w:rsidRDefault="00BE788E" w:rsidP="00B362E5">
      <w:pPr>
        <w:pStyle w:val="a3"/>
        <w:spacing w:before="0" w:beforeAutospacing="0" w:after="0" w:afterAutospacing="0"/>
        <w:divId w:val="892694806"/>
      </w:pPr>
      <w:r>
        <w:rPr>
          <w:rFonts w:hint="eastAsia"/>
          <w:sz w:val="18"/>
          <w:szCs w:val="18"/>
        </w:rPr>
        <w:t>   本公司已向客户转让商品而有权收取对价的权利，且该权利取决于时间流逝之外的其他因素的，确认为合同资产。本公司拥有的无条件</w:t>
      </w:r>
      <w:r>
        <w:rPr>
          <w:rFonts w:ascii="Times New Roman" w:hAnsi="Times New Roman" w:cs="Times New Roman"/>
          <w:sz w:val="18"/>
          <w:szCs w:val="18"/>
        </w:rPr>
        <w:t>(</w:t>
      </w:r>
      <w:r>
        <w:rPr>
          <w:rFonts w:hint="eastAsia"/>
          <w:sz w:val="18"/>
          <w:szCs w:val="18"/>
        </w:rPr>
        <w:t>即，仅取决于时间流逝</w:t>
      </w:r>
      <w:r>
        <w:rPr>
          <w:rFonts w:ascii="Times New Roman" w:hAnsi="Times New Roman" w:cs="Times New Roman"/>
          <w:sz w:val="18"/>
          <w:szCs w:val="18"/>
        </w:rPr>
        <w:t>)</w:t>
      </w:r>
      <w:r>
        <w:rPr>
          <w:rFonts w:hint="eastAsia"/>
          <w:sz w:val="18"/>
          <w:szCs w:val="18"/>
        </w:rPr>
        <w:t>向客户收取对价的权利作为应收款项单独列示。</w:t>
      </w:r>
    </w:p>
    <w:p w:rsidR="00BE788E" w:rsidRDefault="00BE788E" w:rsidP="00B362E5">
      <w:pPr>
        <w:pStyle w:val="a3"/>
        <w:spacing w:before="0" w:beforeAutospacing="0" w:after="0" w:afterAutospacing="0"/>
        <w:ind w:firstLine="420"/>
        <w:jc w:val="both"/>
        <w:divId w:val="238948692"/>
      </w:pPr>
      <w:r>
        <w:rPr>
          <w:rFonts w:hint="eastAsia"/>
          <w:sz w:val="18"/>
          <w:szCs w:val="18"/>
        </w:rPr>
        <w:t>本公司对合同资产的预期信用损失的确定方法及会计处理方法详见（五）重要会计政策及会计估计</w:t>
      </w:r>
      <w:r>
        <w:rPr>
          <w:rFonts w:ascii="Times New Roman" w:hAnsi="Times New Roman" w:cs="Times New Roman"/>
          <w:sz w:val="18"/>
          <w:szCs w:val="18"/>
        </w:rPr>
        <w:t>11.</w:t>
      </w:r>
      <w:r>
        <w:rPr>
          <w:rFonts w:hint="eastAsia"/>
          <w:sz w:val="18"/>
          <w:szCs w:val="18"/>
        </w:rPr>
        <w:t>金融工具减值。</w:t>
      </w:r>
    </w:p>
    <w:p w:rsidR="00BE788E" w:rsidRDefault="00BE788E" w:rsidP="00B362E5">
      <w:pPr>
        <w:pStyle w:val="a3"/>
        <w:spacing w:before="0" w:beforeAutospacing="0" w:after="0" w:afterAutospacing="0"/>
        <w:ind w:firstLine="420"/>
        <w:jc w:val="both"/>
        <w:divId w:val="238948692"/>
      </w:pPr>
      <w:r>
        <w:rPr>
          <w:rFonts w:hint="eastAsia"/>
          <w:sz w:val="18"/>
          <w:szCs w:val="18"/>
        </w:rPr>
        <w:t>本公司对单项金额重大且在初始确认后已经发生信用减值的合同资产单独确定其信用损失。</w:t>
      </w:r>
    </w:p>
    <w:p w:rsidR="00BE788E" w:rsidRDefault="00BE788E" w:rsidP="00B362E5">
      <w:pPr>
        <w:pStyle w:val="a3"/>
        <w:spacing w:before="0" w:beforeAutospacing="0" w:after="0" w:afterAutospacing="0"/>
        <w:ind w:firstLine="420"/>
        <w:jc w:val="both"/>
        <w:divId w:val="238948692"/>
      </w:pPr>
      <w:r>
        <w:rPr>
          <w:rFonts w:hint="eastAsia"/>
          <w:sz w:val="18"/>
          <w:szCs w:val="18"/>
        </w:rPr>
        <w:t>当在单项工具层面无法以合理成本评估预期信用损失的充分证据时，本公司参考历史信用损失经验，结合当前状况以及对未来经济状况的判断，依据信用风险特征将合同资产划分为若干组合，在组合基础上计算预期信用损失。</w:t>
      </w:r>
    </w:p>
    <w:p w:rsidR="00037019" w:rsidRDefault="00BE788E">
      <w:pPr>
        <w:pStyle w:val="3"/>
        <w:spacing w:line="280" w:lineRule="exact"/>
        <w:jc w:val="left"/>
        <w:rPr>
          <w:rFonts w:ascii="宋体" w:hAnsi="宋体" w:cs="宋体"/>
          <w:b/>
          <w:bCs/>
        </w:rPr>
      </w:pPr>
      <w:bookmarkStart w:id="134" w:name="_Toc989023"/>
      <w:r>
        <w:rPr>
          <w:rFonts w:ascii="宋体" w:hAnsi="宋体" w:cs="宋体"/>
          <w:b/>
          <w:bCs/>
        </w:rPr>
        <w:t>17、存货</w:t>
      </w:r>
      <w:bookmarkEnd w:id="134"/>
    </w:p>
    <w:p w:rsidR="00BE788E" w:rsidRDefault="00BE788E" w:rsidP="00B362E5">
      <w:pPr>
        <w:widowControl/>
        <w:numPr>
          <w:ilvl w:val="2"/>
          <w:numId w:val="50"/>
        </w:numPr>
        <w:tabs>
          <w:tab w:val="clear" w:pos="2160"/>
          <w:tab w:val="num" w:pos="426"/>
        </w:tabs>
        <w:spacing w:before="100" w:beforeAutospacing="1" w:after="100" w:afterAutospacing="1"/>
        <w:ind w:left="0" w:firstLine="426"/>
        <w:divId w:val="1621841540"/>
        <w:rPr>
          <w:sz w:val="18"/>
          <w:szCs w:val="18"/>
        </w:rPr>
      </w:pPr>
      <w:r>
        <w:rPr>
          <w:rFonts w:hint="eastAsia"/>
          <w:sz w:val="18"/>
          <w:szCs w:val="18"/>
        </w:rPr>
        <w:t>存货类别、发出计价方法、盘存制度、低值易耗品和包装物的摊销方法</w:t>
      </w:r>
    </w:p>
    <w:p w:rsidR="00BE788E" w:rsidRDefault="00BE788E">
      <w:pPr>
        <w:widowControl/>
        <w:numPr>
          <w:ilvl w:val="0"/>
          <w:numId w:val="51"/>
        </w:numPr>
        <w:divId w:val="1621841540"/>
        <w:rPr>
          <w:rFonts w:ascii="Calibri" w:hAnsi="Calibri" w:cs="Calibri"/>
          <w:szCs w:val="21"/>
        </w:rPr>
      </w:pPr>
      <w:r>
        <w:rPr>
          <w:rFonts w:cs="Calibri" w:hint="eastAsia"/>
          <w:sz w:val="18"/>
          <w:szCs w:val="18"/>
        </w:rPr>
        <w:t>存货类别</w:t>
      </w:r>
    </w:p>
    <w:p w:rsidR="00BE788E" w:rsidRDefault="00BE788E" w:rsidP="00B362E5">
      <w:pPr>
        <w:pStyle w:val="a3"/>
        <w:spacing w:before="0" w:beforeAutospacing="0" w:after="0" w:afterAutospacing="0"/>
        <w:ind w:firstLine="420"/>
        <w:jc w:val="both"/>
        <w:divId w:val="1621841540"/>
      </w:pPr>
      <w:r>
        <w:rPr>
          <w:rFonts w:hint="eastAsia"/>
          <w:sz w:val="18"/>
          <w:szCs w:val="18"/>
        </w:rPr>
        <w:t>存货是指本公司在日常活动中持有以备出售的产成品或商品、处在生产过程中的在产品、在生产过程或提供劳务过程中耗用的材料和物料等。主要包括原材料、周转材料、委托加工物资、在产品、自制半成品、产成品（库存商品）、发出商品等。</w:t>
      </w:r>
    </w:p>
    <w:p w:rsidR="00BE788E" w:rsidRDefault="00BE788E">
      <w:pPr>
        <w:widowControl/>
        <w:numPr>
          <w:ilvl w:val="0"/>
          <w:numId w:val="52"/>
        </w:numPr>
        <w:divId w:val="1621841540"/>
        <w:rPr>
          <w:rFonts w:ascii="Calibri" w:hAnsi="Calibri" w:cs="Calibri"/>
          <w:szCs w:val="21"/>
        </w:rPr>
      </w:pPr>
      <w:r>
        <w:rPr>
          <w:rFonts w:cs="Calibri" w:hint="eastAsia"/>
          <w:sz w:val="18"/>
          <w:szCs w:val="18"/>
        </w:rPr>
        <w:t>存货发出计价方法</w:t>
      </w:r>
    </w:p>
    <w:p w:rsidR="00BE788E" w:rsidRPr="00B362E5" w:rsidRDefault="00BE788E" w:rsidP="00B362E5">
      <w:pPr>
        <w:pStyle w:val="a3"/>
        <w:spacing w:before="0" w:beforeAutospacing="0" w:after="0" w:afterAutospacing="0"/>
        <w:ind w:firstLine="420"/>
        <w:jc w:val="both"/>
        <w:divId w:val="1621841540"/>
        <w:rPr>
          <w:sz w:val="18"/>
          <w:szCs w:val="18"/>
        </w:rPr>
      </w:pPr>
      <w:r>
        <w:rPr>
          <w:rFonts w:hint="eastAsia"/>
          <w:sz w:val="18"/>
          <w:szCs w:val="18"/>
        </w:rPr>
        <w:t>存货在取得时，按成本进行初始计量，包括采购成本、加工成本和其他成本。存货发出时按移动加权平均法计价。</w:t>
      </w:r>
    </w:p>
    <w:p w:rsidR="00BE788E" w:rsidRDefault="00BE788E">
      <w:pPr>
        <w:widowControl/>
        <w:numPr>
          <w:ilvl w:val="0"/>
          <w:numId w:val="53"/>
        </w:numPr>
        <w:divId w:val="1621841540"/>
        <w:rPr>
          <w:rFonts w:ascii="Calibri" w:hAnsi="Calibri" w:cs="Calibri"/>
          <w:szCs w:val="21"/>
        </w:rPr>
      </w:pPr>
      <w:r>
        <w:rPr>
          <w:rFonts w:cs="Calibri" w:hint="eastAsia"/>
          <w:sz w:val="18"/>
          <w:szCs w:val="18"/>
        </w:rPr>
        <w:t>存货的盘存制度</w:t>
      </w:r>
    </w:p>
    <w:p w:rsidR="00BE788E" w:rsidRDefault="00BE788E">
      <w:pPr>
        <w:pStyle w:val="a3"/>
        <w:spacing w:before="0" w:beforeAutospacing="0" w:after="0" w:afterAutospacing="0" w:line="360" w:lineRule="auto"/>
        <w:ind w:firstLine="420"/>
        <w:jc w:val="both"/>
        <w:divId w:val="1621841540"/>
      </w:pPr>
      <w:r>
        <w:rPr>
          <w:rFonts w:hint="eastAsia"/>
          <w:sz w:val="18"/>
          <w:szCs w:val="18"/>
        </w:rPr>
        <w:t>存货盘存制度为永续盘存制。</w:t>
      </w:r>
    </w:p>
    <w:p w:rsidR="00BE788E" w:rsidRDefault="00BE788E">
      <w:pPr>
        <w:widowControl/>
        <w:numPr>
          <w:ilvl w:val="0"/>
          <w:numId w:val="54"/>
        </w:numPr>
        <w:divId w:val="1621841540"/>
        <w:rPr>
          <w:rFonts w:ascii="Calibri" w:hAnsi="Calibri" w:cs="Calibri"/>
          <w:szCs w:val="21"/>
        </w:rPr>
      </w:pPr>
      <w:r>
        <w:rPr>
          <w:rFonts w:cs="Calibri" w:hint="eastAsia"/>
          <w:sz w:val="18"/>
          <w:szCs w:val="18"/>
        </w:rPr>
        <w:t>低值易耗品和包装物的摊销方法</w:t>
      </w:r>
    </w:p>
    <w:p w:rsidR="00BE788E" w:rsidRDefault="00BE788E">
      <w:pPr>
        <w:pStyle w:val="a3"/>
        <w:spacing w:before="0" w:beforeAutospacing="0" w:after="0" w:afterAutospacing="0" w:line="360" w:lineRule="auto"/>
        <w:ind w:left="420"/>
        <w:jc w:val="both"/>
        <w:divId w:val="1621841540"/>
      </w:pPr>
      <w:r>
        <w:rPr>
          <w:rFonts w:ascii="Times New Roman" w:hAnsi="Times New Roman" w:cs="Times New Roman"/>
          <w:sz w:val="18"/>
          <w:szCs w:val="18"/>
        </w:rPr>
        <w:t>1</w:t>
      </w:r>
      <w:r>
        <w:rPr>
          <w:rFonts w:hint="eastAsia"/>
          <w:sz w:val="18"/>
          <w:szCs w:val="18"/>
        </w:rPr>
        <w:t>）低值易耗品采用一次转销法进行摊销；</w:t>
      </w:r>
    </w:p>
    <w:p w:rsidR="00BE788E" w:rsidRDefault="00BE788E">
      <w:pPr>
        <w:pStyle w:val="a3"/>
        <w:spacing w:before="0" w:beforeAutospacing="0" w:after="0" w:afterAutospacing="0" w:line="360" w:lineRule="auto"/>
        <w:ind w:left="420"/>
        <w:jc w:val="both"/>
        <w:divId w:val="1621841540"/>
      </w:pPr>
      <w:r>
        <w:rPr>
          <w:rFonts w:ascii="Times New Roman" w:hAnsi="Times New Roman" w:cs="Times New Roman"/>
          <w:sz w:val="18"/>
          <w:szCs w:val="18"/>
        </w:rPr>
        <w:t>2</w:t>
      </w:r>
      <w:r>
        <w:rPr>
          <w:rFonts w:hint="eastAsia"/>
          <w:sz w:val="18"/>
          <w:szCs w:val="18"/>
        </w:rPr>
        <w:t>）包装物采用一次转销法进行摊销。</w:t>
      </w:r>
    </w:p>
    <w:p w:rsidR="00BE788E" w:rsidRDefault="00BE788E">
      <w:pPr>
        <w:pStyle w:val="a3"/>
        <w:spacing w:before="0" w:beforeAutospacing="0" w:after="0" w:afterAutospacing="0" w:line="360" w:lineRule="auto"/>
        <w:ind w:left="420"/>
        <w:jc w:val="both"/>
        <w:divId w:val="1621841540"/>
      </w:pPr>
      <w:r>
        <w:rPr>
          <w:rFonts w:ascii="Times New Roman" w:hAnsi="Times New Roman" w:cs="Times New Roman"/>
          <w:sz w:val="18"/>
          <w:szCs w:val="18"/>
        </w:rPr>
        <w:t>3</w:t>
      </w:r>
      <w:r>
        <w:rPr>
          <w:rFonts w:hint="eastAsia"/>
          <w:sz w:val="18"/>
          <w:szCs w:val="18"/>
        </w:rPr>
        <w:t>）其他周转材料采用一次转销法进行摊销。</w:t>
      </w:r>
    </w:p>
    <w:p w:rsidR="00BE788E" w:rsidRDefault="00BE788E" w:rsidP="00B362E5">
      <w:pPr>
        <w:widowControl/>
        <w:numPr>
          <w:ilvl w:val="2"/>
          <w:numId w:val="55"/>
        </w:numPr>
        <w:tabs>
          <w:tab w:val="clear" w:pos="2160"/>
          <w:tab w:val="num" w:pos="426"/>
        </w:tabs>
        <w:spacing w:before="100" w:beforeAutospacing="1" w:after="100" w:afterAutospacing="1"/>
        <w:ind w:left="0" w:firstLine="426"/>
        <w:divId w:val="1621841540"/>
        <w:rPr>
          <w:sz w:val="18"/>
          <w:szCs w:val="18"/>
        </w:rPr>
      </w:pPr>
      <w:r>
        <w:rPr>
          <w:rFonts w:hint="eastAsia"/>
          <w:sz w:val="18"/>
          <w:szCs w:val="18"/>
        </w:rPr>
        <w:t>存货跌价准备的确认标准和计提方法</w:t>
      </w:r>
    </w:p>
    <w:p w:rsidR="00BE788E" w:rsidRPr="00B362E5" w:rsidRDefault="00BE788E" w:rsidP="00B362E5">
      <w:pPr>
        <w:pStyle w:val="a3"/>
        <w:spacing w:before="0" w:beforeAutospacing="0" w:after="0" w:afterAutospacing="0"/>
        <w:ind w:firstLine="420"/>
        <w:jc w:val="both"/>
        <w:divId w:val="1621841540"/>
        <w:rPr>
          <w:sz w:val="18"/>
          <w:szCs w:val="18"/>
        </w:rPr>
      </w:pPr>
      <w:proofErr w:type="gramStart"/>
      <w:r>
        <w:rPr>
          <w:rFonts w:hint="eastAsia"/>
          <w:sz w:val="18"/>
          <w:szCs w:val="18"/>
        </w:rPr>
        <w:lastRenderedPageBreak/>
        <w:t>期末对</w:t>
      </w:r>
      <w:proofErr w:type="gramEnd"/>
      <w:r>
        <w:rPr>
          <w:rFonts w:hint="eastAsia"/>
          <w:sz w:val="18"/>
          <w:szCs w:val="18"/>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BE788E" w:rsidRPr="00B362E5" w:rsidRDefault="00BE788E" w:rsidP="00B362E5">
      <w:pPr>
        <w:pStyle w:val="a3"/>
        <w:spacing w:before="0" w:beforeAutospacing="0" w:after="0" w:afterAutospacing="0"/>
        <w:ind w:firstLine="420"/>
        <w:jc w:val="both"/>
        <w:divId w:val="1621841540"/>
        <w:rPr>
          <w:sz w:val="18"/>
          <w:szCs w:val="18"/>
        </w:rPr>
      </w:pPr>
      <w:r>
        <w:rPr>
          <w:rFonts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BE788E" w:rsidRPr="00B362E5" w:rsidRDefault="00BE788E" w:rsidP="00B362E5">
      <w:pPr>
        <w:pStyle w:val="a3"/>
        <w:spacing w:before="0" w:beforeAutospacing="0" w:after="0" w:afterAutospacing="0"/>
        <w:ind w:firstLine="420"/>
        <w:jc w:val="both"/>
        <w:divId w:val="1621841540"/>
        <w:rPr>
          <w:sz w:val="18"/>
          <w:szCs w:val="18"/>
        </w:rPr>
      </w:pPr>
      <w:proofErr w:type="gramStart"/>
      <w:r>
        <w:rPr>
          <w:rFonts w:hint="eastAsia"/>
          <w:sz w:val="18"/>
          <w:szCs w:val="18"/>
        </w:rPr>
        <w:t>以前减记</w:t>
      </w:r>
      <w:proofErr w:type="gramEnd"/>
      <w:r>
        <w:rPr>
          <w:rFonts w:hint="eastAsia"/>
          <w:sz w:val="18"/>
          <w:szCs w:val="18"/>
        </w:rPr>
        <w:t>存货价值的影响因素已经消失的，</w:t>
      </w:r>
      <w:proofErr w:type="gramStart"/>
      <w:r>
        <w:rPr>
          <w:rFonts w:hint="eastAsia"/>
          <w:sz w:val="18"/>
          <w:szCs w:val="18"/>
        </w:rPr>
        <w:t>减记的</w:t>
      </w:r>
      <w:proofErr w:type="gramEnd"/>
      <w:r>
        <w:rPr>
          <w:rFonts w:hint="eastAsia"/>
          <w:sz w:val="18"/>
          <w:szCs w:val="18"/>
        </w:rPr>
        <w:t>金额予以恢复，并在原已计提的存货跌价准备金额内转回，转回的金额计入当期损益。</w:t>
      </w:r>
    </w:p>
    <w:p w:rsidR="00037019" w:rsidRDefault="00BE788E">
      <w:pPr>
        <w:pStyle w:val="3"/>
        <w:spacing w:line="280" w:lineRule="exact"/>
        <w:jc w:val="left"/>
        <w:rPr>
          <w:rFonts w:ascii="宋体" w:hAnsi="宋体" w:cs="宋体"/>
          <w:b/>
          <w:bCs/>
        </w:rPr>
      </w:pPr>
      <w:bookmarkStart w:id="135" w:name="_Toc989024"/>
      <w:r>
        <w:rPr>
          <w:rFonts w:ascii="宋体" w:hAnsi="宋体" w:cs="宋体"/>
          <w:b/>
          <w:bCs/>
        </w:rPr>
        <w:t>18、持有待售资产</w:t>
      </w:r>
      <w:bookmarkEnd w:id="135"/>
    </w:p>
    <w:p w:rsidR="00BE788E" w:rsidRDefault="00BE788E">
      <w:pPr>
        <w:widowControl/>
        <w:numPr>
          <w:ilvl w:val="0"/>
          <w:numId w:val="56"/>
        </w:numPr>
        <w:spacing w:before="100" w:beforeAutospacing="1" w:after="100" w:afterAutospacing="1"/>
        <w:divId w:val="14126592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划分为持有待售确认标准</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本公司将同时满足下列条件的非流动资产或</w:t>
      </w:r>
      <w:proofErr w:type="gramStart"/>
      <w:r>
        <w:rPr>
          <w:rFonts w:hint="eastAsia"/>
          <w:sz w:val="18"/>
          <w:szCs w:val="18"/>
        </w:rPr>
        <w:t>处置组</w:t>
      </w:r>
      <w:proofErr w:type="gramEnd"/>
      <w:r>
        <w:rPr>
          <w:rFonts w:hint="eastAsia"/>
          <w:sz w:val="18"/>
          <w:szCs w:val="18"/>
        </w:rPr>
        <w:t>确认为持有待售组成部分：</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w:t>
      </w:r>
      <w:r w:rsidRPr="00B362E5">
        <w:rPr>
          <w:sz w:val="18"/>
          <w:szCs w:val="18"/>
        </w:rPr>
        <w:t>1</w:t>
      </w:r>
      <w:r>
        <w:rPr>
          <w:rFonts w:hint="eastAsia"/>
          <w:sz w:val="18"/>
          <w:szCs w:val="18"/>
        </w:rPr>
        <w:t>）根据类似交易中出售此类资产或</w:t>
      </w:r>
      <w:proofErr w:type="gramStart"/>
      <w:r>
        <w:rPr>
          <w:rFonts w:hint="eastAsia"/>
          <w:sz w:val="18"/>
          <w:szCs w:val="18"/>
        </w:rPr>
        <w:t>处置组</w:t>
      </w:r>
      <w:proofErr w:type="gramEnd"/>
      <w:r>
        <w:rPr>
          <w:rFonts w:hint="eastAsia"/>
          <w:sz w:val="18"/>
          <w:szCs w:val="18"/>
        </w:rPr>
        <w:t>的惯例，在当前状况下即可立即出售；</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w:t>
      </w:r>
      <w:r w:rsidRPr="00B362E5">
        <w:rPr>
          <w:sz w:val="18"/>
          <w:szCs w:val="18"/>
        </w:rPr>
        <w:t>2</w:t>
      </w:r>
      <w:r>
        <w:rPr>
          <w:rFonts w:hint="eastAsia"/>
          <w:sz w:val="18"/>
          <w:szCs w:val="18"/>
        </w:rPr>
        <w:t>）</w:t>
      </w:r>
      <w:proofErr w:type="gramStart"/>
      <w:r>
        <w:rPr>
          <w:rFonts w:hint="eastAsia"/>
          <w:sz w:val="18"/>
          <w:szCs w:val="18"/>
        </w:rPr>
        <w:t>出售极</w:t>
      </w:r>
      <w:proofErr w:type="gramEnd"/>
      <w:r>
        <w:rPr>
          <w:rFonts w:hint="eastAsia"/>
          <w:sz w:val="18"/>
          <w:szCs w:val="18"/>
        </w:rPr>
        <w:t>可能发生，即本公司已经就一项出售计划</w:t>
      </w:r>
      <w:proofErr w:type="gramStart"/>
      <w:r>
        <w:rPr>
          <w:rFonts w:hint="eastAsia"/>
          <w:sz w:val="18"/>
          <w:szCs w:val="18"/>
        </w:rPr>
        <w:t>作出</w:t>
      </w:r>
      <w:proofErr w:type="gramEnd"/>
      <w:r>
        <w:rPr>
          <w:rFonts w:hint="eastAsia"/>
          <w:sz w:val="18"/>
          <w:szCs w:val="18"/>
        </w:rPr>
        <w:t>决议，并已获得监管部门批准，且获得确定的购买承诺，预计出售将在一年内完成。</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BE788E" w:rsidRDefault="00BE788E">
      <w:pPr>
        <w:widowControl/>
        <w:numPr>
          <w:ilvl w:val="0"/>
          <w:numId w:val="57"/>
        </w:numPr>
        <w:spacing w:before="100" w:beforeAutospacing="1" w:after="100" w:afterAutospacing="1"/>
        <w:divId w:val="14126592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持有待售核算方法</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本公司对于持有待售的非流动资产或</w:t>
      </w:r>
      <w:proofErr w:type="gramStart"/>
      <w:r>
        <w:rPr>
          <w:rFonts w:hint="eastAsia"/>
          <w:sz w:val="18"/>
          <w:szCs w:val="18"/>
        </w:rPr>
        <w:t>处置组不计</w:t>
      </w:r>
      <w:proofErr w:type="gramEnd"/>
      <w:r>
        <w:rPr>
          <w:rFonts w:hint="eastAsia"/>
          <w:sz w:val="18"/>
          <w:szCs w:val="18"/>
        </w:rPr>
        <w:t>提折旧或摊销，其账面价值高于公允价值减去出售费用后的净额的，应当将账面价值</w:t>
      </w:r>
      <w:proofErr w:type="gramStart"/>
      <w:r>
        <w:rPr>
          <w:rFonts w:hint="eastAsia"/>
          <w:sz w:val="18"/>
          <w:szCs w:val="18"/>
        </w:rPr>
        <w:t>减记至</w:t>
      </w:r>
      <w:proofErr w:type="gramEnd"/>
      <w:r>
        <w:rPr>
          <w:rFonts w:hint="eastAsia"/>
          <w:sz w:val="18"/>
          <w:szCs w:val="18"/>
        </w:rPr>
        <w:t>公允价值减去出售费用后的净额，</w:t>
      </w:r>
      <w:proofErr w:type="gramStart"/>
      <w:r>
        <w:rPr>
          <w:rFonts w:hint="eastAsia"/>
          <w:sz w:val="18"/>
          <w:szCs w:val="18"/>
        </w:rPr>
        <w:t>减记的</w:t>
      </w:r>
      <w:proofErr w:type="gramEnd"/>
      <w:r>
        <w:rPr>
          <w:rFonts w:hint="eastAsia"/>
          <w:sz w:val="18"/>
          <w:szCs w:val="18"/>
        </w:rPr>
        <w:t>金额确认为资产减值损失，计入当期损益，同时计提持有待售资产减值准备。</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BE788E" w:rsidRPr="00B362E5" w:rsidRDefault="00BE788E" w:rsidP="00B362E5">
      <w:pPr>
        <w:pStyle w:val="a3"/>
        <w:spacing w:before="0" w:beforeAutospacing="0" w:after="0" w:afterAutospacing="0"/>
        <w:ind w:firstLine="420"/>
        <w:jc w:val="both"/>
        <w:divId w:val="1412659204"/>
        <w:rPr>
          <w:sz w:val="18"/>
          <w:szCs w:val="18"/>
        </w:rPr>
      </w:pPr>
      <w:r>
        <w:rPr>
          <w:rFonts w:hint="eastAsia"/>
          <w:sz w:val="18"/>
          <w:szCs w:val="18"/>
        </w:rPr>
        <w:t>上述原则适用于所有非流动资产，但不包括采用公允价值模式进行后续计量的投资性房地产、采用公允价值减去出售费用后的净额计量的生物资产、职工薪</w:t>
      </w:r>
      <w:proofErr w:type="gramStart"/>
      <w:r>
        <w:rPr>
          <w:rFonts w:hint="eastAsia"/>
          <w:sz w:val="18"/>
          <w:szCs w:val="18"/>
        </w:rPr>
        <w:t>酬</w:t>
      </w:r>
      <w:proofErr w:type="gramEnd"/>
      <w:r>
        <w:rPr>
          <w:rFonts w:hint="eastAsia"/>
          <w:sz w:val="18"/>
          <w:szCs w:val="18"/>
        </w:rPr>
        <w:t>形成的资产、递延所得税资产、由金融工具相关会计准则规范的金融资产、由保险合同相关会计准则规范的保险合同所产生的权利。</w:t>
      </w:r>
    </w:p>
    <w:p w:rsidR="00037019" w:rsidRDefault="00BE788E">
      <w:pPr>
        <w:pStyle w:val="3"/>
        <w:spacing w:line="280" w:lineRule="exact"/>
        <w:jc w:val="left"/>
        <w:rPr>
          <w:rFonts w:ascii="宋体" w:hAnsi="宋体" w:cs="宋体"/>
          <w:b/>
          <w:bCs/>
        </w:rPr>
      </w:pPr>
      <w:bookmarkStart w:id="136" w:name="_Toc989025"/>
      <w:r>
        <w:rPr>
          <w:rFonts w:ascii="宋体" w:hAnsi="宋体" w:cs="宋体"/>
          <w:b/>
          <w:bCs/>
        </w:rPr>
        <w:t>19、债权投资</w:t>
      </w:r>
      <w:bookmarkEnd w:id="136"/>
    </w:p>
    <w:p w:rsidR="00BE788E" w:rsidRPr="00B362E5" w:rsidRDefault="00BE788E" w:rsidP="00B362E5">
      <w:pPr>
        <w:pStyle w:val="a3"/>
        <w:spacing w:before="0" w:beforeAutospacing="0" w:after="0" w:afterAutospacing="0"/>
        <w:ind w:firstLine="420"/>
        <w:jc w:val="both"/>
        <w:divId w:val="1637177452"/>
        <w:rPr>
          <w:sz w:val="18"/>
          <w:szCs w:val="18"/>
        </w:rPr>
      </w:pPr>
      <w:r>
        <w:rPr>
          <w:rFonts w:hint="eastAsia"/>
          <w:sz w:val="18"/>
          <w:szCs w:val="18"/>
        </w:rPr>
        <w:t>本公司对债权投资的预期信用损失的确定方法及会计处理方法详见（五）重要会计政策及会计估计11</w:t>
      </w:r>
      <w:r w:rsidRPr="00B362E5">
        <w:rPr>
          <w:sz w:val="18"/>
          <w:szCs w:val="18"/>
        </w:rPr>
        <w:t>.</w:t>
      </w:r>
      <w:r>
        <w:rPr>
          <w:rFonts w:hint="eastAsia"/>
          <w:sz w:val="18"/>
          <w:szCs w:val="18"/>
        </w:rPr>
        <w:t>金融工具减值。</w:t>
      </w:r>
    </w:p>
    <w:p w:rsidR="00037019" w:rsidRDefault="00BE788E">
      <w:pPr>
        <w:pStyle w:val="3"/>
        <w:spacing w:line="280" w:lineRule="exact"/>
        <w:jc w:val="left"/>
        <w:rPr>
          <w:rFonts w:ascii="宋体" w:hAnsi="宋体" w:cs="宋体"/>
          <w:b/>
          <w:bCs/>
        </w:rPr>
      </w:pPr>
      <w:bookmarkStart w:id="137" w:name="_Toc989026"/>
      <w:r>
        <w:rPr>
          <w:rFonts w:ascii="宋体" w:hAnsi="宋体" w:cs="宋体"/>
          <w:b/>
          <w:bCs/>
        </w:rPr>
        <w:t>20、其他债权投资</w:t>
      </w:r>
      <w:bookmarkEnd w:id="137"/>
    </w:p>
    <w:p w:rsidR="00BE788E" w:rsidRPr="00B362E5" w:rsidRDefault="00BE788E" w:rsidP="00B362E5">
      <w:pPr>
        <w:pStyle w:val="a3"/>
        <w:spacing w:before="0" w:beforeAutospacing="0" w:after="0" w:afterAutospacing="0"/>
        <w:ind w:firstLine="420"/>
        <w:jc w:val="both"/>
        <w:divId w:val="1129203353"/>
        <w:rPr>
          <w:sz w:val="18"/>
          <w:szCs w:val="18"/>
        </w:rPr>
      </w:pPr>
      <w:r>
        <w:rPr>
          <w:rFonts w:hint="eastAsia"/>
          <w:sz w:val="18"/>
          <w:szCs w:val="18"/>
        </w:rPr>
        <w:t>本公司对其他债权投资的预期信用损失的确定方法及会计处理方法详见（五）重要会计政策及会计估计11</w:t>
      </w:r>
      <w:r w:rsidRPr="00B362E5">
        <w:rPr>
          <w:sz w:val="18"/>
          <w:szCs w:val="18"/>
        </w:rPr>
        <w:t>.</w:t>
      </w:r>
      <w:r>
        <w:rPr>
          <w:rFonts w:hint="eastAsia"/>
          <w:sz w:val="18"/>
          <w:szCs w:val="18"/>
        </w:rPr>
        <w:t xml:space="preserve">金融工具减值。 </w:t>
      </w:r>
    </w:p>
    <w:p w:rsidR="00037019" w:rsidRDefault="00BE788E">
      <w:pPr>
        <w:pStyle w:val="3"/>
        <w:spacing w:line="280" w:lineRule="exact"/>
        <w:jc w:val="left"/>
        <w:rPr>
          <w:rFonts w:ascii="宋体" w:hAnsi="宋体" w:cs="宋体"/>
          <w:b/>
          <w:bCs/>
        </w:rPr>
      </w:pPr>
      <w:bookmarkStart w:id="138" w:name="_Toc989027"/>
      <w:r>
        <w:rPr>
          <w:rFonts w:ascii="宋体" w:hAnsi="宋体" w:cs="宋体"/>
          <w:b/>
          <w:bCs/>
        </w:rPr>
        <w:lastRenderedPageBreak/>
        <w:t>21、长期应收款</w:t>
      </w:r>
      <w:bookmarkEnd w:id="138"/>
    </w:p>
    <w:p w:rsidR="00BE788E" w:rsidRPr="00B362E5" w:rsidRDefault="00BE788E" w:rsidP="00B362E5">
      <w:pPr>
        <w:pStyle w:val="a3"/>
        <w:spacing w:before="0" w:beforeAutospacing="0" w:after="0" w:afterAutospacing="0"/>
        <w:ind w:firstLine="420"/>
        <w:jc w:val="both"/>
        <w:divId w:val="1069495761"/>
        <w:rPr>
          <w:sz w:val="18"/>
          <w:szCs w:val="18"/>
        </w:rPr>
      </w:pPr>
      <w:r>
        <w:rPr>
          <w:rFonts w:hint="eastAsia"/>
          <w:sz w:val="18"/>
          <w:szCs w:val="18"/>
        </w:rPr>
        <w:t>本公司对长期应收款的预期信用损失的确定方法及会计处理方法详见（五）重要会计政策及会计估计11</w:t>
      </w:r>
      <w:r w:rsidRPr="00B362E5">
        <w:rPr>
          <w:sz w:val="18"/>
          <w:szCs w:val="18"/>
        </w:rPr>
        <w:t>.</w:t>
      </w:r>
      <w:r>
        <w:rPr>
          <w:rFonts w:hint="eastAsia"/>
          <w:sz w:val="18"/>
          <w:szCs w:val="18"/>
        </w:rPr>
        <w:t>金融工具减值。</w:t>
      </w:r>
    </w:p>
    <w:p w:rsidR="00BE788E" w:rsidRPr="00B362E5" w:rsidRDefault="00BE788E" w:rsidP="00B362E5">
      <w:pPr>
        <w:pStyle w:val="a3"/>
        <w:spacing w:before="0" w:beforeAutospacing="0" w:after="0" w:afterAutospacing="0"/>
        <w:ind w:firstLine="420"/>
        <w:jc w:val="both"/>
        <w:divId w:val="1069495761"/>
        <w:rPr>
          <w:sz w:val="18"/>
          <w:szCs w:val="18"/>
        </w:rPr>
      </w:pPr>
      <w:r>
        <w:rPr>
          <w:rFonts w:hint="eastAsia"/>
          <w:sz w:val="18"/>
          <w:szCs w:val="18"/>
        </w:rPr>
        <w:t>本公司对单项金额重大且在初始确认后已经发生信用减值的长期应收款单独确定其信用损失。</w:t>
      </w:r>
    </w:p>
    <w:p w:rsidR="00BE788E" w:rsidRPr="00B362E5" w:rsidRDefault="00BE788E" w:rsidP="00B362E5">
      <w:pPr>
        <w:pStyle w:val="a3"/>
        <w:spacing w:before="0" w:beforeAutospacing="0" w:after="0" w:afterAutospacing="0"/>
        <w:ind w:firstLine="420"/>
        <w:jc w:val="both"/>
        <w:divId w:val="1069495761"/>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长期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10|0|desc|||0|1"/>
      </w:tblPr>
      <w:tblGrid>
        <w:gridCol w:w="1553"/>
        <w:gridCol w:w="3942"/>
        <w:gridCol w:w="4358"/>
      </w:tblGrid>
      <w:tr w:rsidR="00BE788E" w:rsidTr="00B362E5">
        <w:trPr>
          <w:divId w:val="1069495761"/>
          <w:trHeight w:val="340"/>
        </w:trPr>
        <w:tc>
          <w:tcPr>
            <w:tcW w:w="1553"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组合名称</w:t>
            </w:r>
          </w:p>
        </w:tc>
        <w:tc>
          <w:tcPr>
            <w:tcW w:w="3942"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确定组合的依据</w:t>
            </w:r>
          </w:p>
        </w:tc>
        <w:tc>
          <w:tcPr>
            <w:tcW w:w="4358"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计提方法</w:t>
            </w:r>
          </w:p>
        </w:tc>
      </w:tr>
      <w:tr w:rsidR="00BE788E">
        <w:trPr>
          <w:divId w:val="106949576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风险组合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本组合以长期应收款的账</w:t>
            </w:r>
            <w:proofErr w:type="gramStart"/>
            <w:r>
              <w:rPr>
                <w:rFonts w:hint="eastAsia"/>
                <w:sz w:val="18"/>
                <w:szCs w:val="18"/>
              </w:rPr>
              <w:t>龄作为</w:t>
            </w:r>
            <w:proofErr w:type="gramEnd"/>
            <w:r>
              <w:rPr>
                <w:rFonts w:hint="eastAsia"/>
                <w:sz w:val="18"/>
                <w:szCs w:val="18"/>
              </w:rPr>
              <w:t>信用风险特征</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参考历史信用损失经验，结合当前状况以及对未来经济状况的预期计量坏账准备</w:t>
            </w:r>
          </w:p>
        </w:tc>
      </w:tr>
      <w:tr w:rsidR="00BE788E">
        <w:trPr>
          <w:divId w:val="106949576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性质组合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both"/>
            </w:pPr>
            <w:r>
              <w:rPr>
                <w:rFonts w:hint="eastAsia"/>
                <w:sz w:val="18"/>
                <w:szCs w:val="18"/>
              </w:rPr>
              <w:t>根据业务性质，主要包括合并范围内关联方的款项、出口退税款</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参考历史信用损失经验，结合当前状况以及对未来经济状况的预期计量坏账准备</w:t>
            </w:r>
          </w:p>
        </w:tc>
      </w:tr>
    </w:tbl>
    <w:p w:rsidR="00037019" w:rsidRDefault="00BE788E">
      <w:pPr>
        <w:pStyle w:val="3"/>
        <w:spacing w:line="280" w:lineRule="exact"/>
        <w:jc w:val="left"/>
        <w:rPr>
          <w:rFonts w:ascii="宋体" w:hAnsi="宋体" w:cs="宋体"/>
          <w:b/>
          <w:bCs/>
        </w:rPr>
      </w:pPr>
      <w:bookmarkStart w:id="139" w:name="_Toc989028"/>
      <w:r>
        <w:rPr>
          <w:rFonts w:ascii="宋体" w:hAnsi="宋体" w:cs="宋体"/>
          <w:b/>
          <w:bCs/>
        </w:rPr>
        <w:t>22、长期股权投资</w:t>
      </w:r>
      <w:bookmarkEnd w:id="139"/>
    </w:p>
    <w:p w:rsidR="00BE788E" w:rsidRDefault="00BE788E">
      <w:pPr>
        <w:widowControl/>
        <w:numPr>
          <w:ilvl w:val="0"/>
          <w:numId w:val="58"/>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初始投资成本的确定</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1</w:t>
      </w:r>
      <w:r>
        <w:rPr>
          <w:rFonts w:hint="eastAsia"/>
          <w:sz w:val="18"/>
          <w:szCs w:val="18"/>
        </w:rPr>
        <w:t>）企业合并形成的长期股权投资，具体会计政策详见6.同</w:t>
      </w:r>
      <w:proofErr w:type="gramStart"/>
      <w:r>
        <w:rPr>
          <w:rFonts w:hint="eastAsia"/>
          <w:sz w:val="18"/>
          <w:szCs w:val="18"/>
        </w:rPr>
        <w:t>一控制</w:t>
      </w:r>
      <w:proofErr w:type="gramEnd"/>
      <w:r>
        <w:rPr>
          <w:rFonts w:hint="eastAsia"/>
          <w:sz w:val="18"/>
          <w:szCs w:val="18"/>
        </w:rPr>
        <w:t>下和非同</w:t>
      </w:r>
      <w:proofErr w:type="gramStart"/>
      <w:r>
        <w:rPr>
          <w:rFonts w:hint="eastAsia"/>
          <w:sz w:val="18"/>
          <w:szCs w:val="18"/>
        </w:rPr>
        <w:t>一控制</w:t>
      </w:r>
      <w:proofErr w:type="gramEnd"/>
      <w:r>
        <w:rPr>
          <w:rFonts w:hint="eastAsia"/>
          <w:sz w:val="18"/>
          <w:szCs w:val="18"/>
        </w:rPr>
        <w:t>下企业合并的会计处理方法。</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2</w:t>
      </w:r>
      <w:r>
        <w:rPr>
          <w:rFonts w:hint="eastAsia"/>
          <w:sz w:val="18"/>
          <w:szCs w:val="18"/>
        </w:rPr>
        <w:t>）其他方式取得的长期股权投资</w:t>
      </w:r>
    </w:p>
    <w:p w:rsidR="00BE788E" w:rsidRDefault="00BE788E" w:rsidP="00B362E5">
      <w:pPr>
        <w:pStyle w:val="a3"/>
        <w:spacing w:before="0" w:beforeAutospacing="0" w:after="0" w:afterAutospacing="0"/>
        <w:ind w:firstLine="420"/>
        <w:jc w:val="both"/>
        <w:divId w:val="388649103"/>
      </w:pPr>
      <w:r>
        <w:rPr>
          <w:rFonts w:hint="eastAsia"/>
          <w:sz w:val="18"/>
          <w:szCs w:val="18"/>
        </w:rPr>
        <w:t>以支付现金方式取得的长期股权投资，按照实际支付的购买价款作为初始投资成本。初始投资成本包括与取得长期股权投资直接相关的费用、税金及其他必要支出。</w:t>
      </w:r>
    </w:p>
    <w:p w:rsidR="00BE788E" w:rsidRDefault="00BE788E" w:rsidP="00B362E5">
      <w:pPr>
        <w:pStyle w:val="a3"/>
        <w:spacing w:before="0" w:beforeAutospacing="0" w:after="0" w:afterAutospacing="0"/>
        <w:ind w:firstLine="420"/>
        <w:jc w:val="both"/>
        <w:divId w:val="388649103"/>
      </w:pPr>
      <w:r>
        <w:rPr>
          <w:rFonts w:hint="eastAsia"/>
          <w:sz w:val="18"/>
          <w:szCs w:val="18"/>
        </w:rPr>
        <w:t>以发行权益</w:t>
      </w:r>
      <w:proofErr w:type="gramStart"/>
      <w:r>
        <w:rPr>
          <w:rFonts w:hint="eastAsia"/>
          <w:sz w:val="18"/>
          <w:szCs w:val="18"/>
        </w:rPr>
        <w:t>性证券</w:t>
      </w:r>
      <w:proofErr w:type="gramEnd"/>
      <w:r>
        <w:rPr>
          <w:rFonts w:hint="eastAsia"/>
          <w:sz w:val="18"/>
          <w:szCs w:val="18"/>
        </w:rPr>
        <w:t>取得的长期股权投资，按照发行权益</w:t>
      </w:r>
      <w:proofErr w:type="gramStart"/>
      <w:r>
        <w:rPr>
          <w:rFonts w:hint="eastAsia"/>
          <w:sz w:val="18"/>
          <w:szCs w:val="18"/>
        </w:rPr>
        <w:t>性证券</w:t>
      </w:r>
      <w:proofErr w:type="gramEnd"/>
      <w:r>
        <w:rPr>
          <w:rFonts w:hint="eastAsia"/>
          <w:sz w:val="18"/>
          <w:szCs w:val="18"/>
        </w:rPr>
        <w:t>的公允价值作为初始投资成本；发行或取得自身权益工具时发生的交易费用，可直接归属于权益性交易的从权益中扣减。</w:t>
      </w:r>
    </w:p>
    <w:p w:rsidR="00BE788E" w:rsidRDefault="00BE788E" w:rsidP="00B362E5">
      <w:pPr>
        <w:pStyle w:val="a3"/>
        <w:spacing w:before="0" w:beforeAutospacing="0" w:after="0" w:afterAutospacing="0"/>
        <w:ind w:firstLine="420"/>
        <w:jc w:val="both"/>
        <w:divId w:val="388649103"/>
      </w:pPr>
      <w:r>
        <w:rPr>
          <w:rFonts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BE788E" w:rsidRDefault="00BE788E" w:rsidP="00B362E5">
      <w:pPr>
        <w:pStyle w:val="a3"/>
        <w:spacing w:before="0" w:beforeAutospacing="0" w:after="0" w:afterAutospacing="0"/>
        <w:ind w:firstLine="420"/>
        <w:jc w:val="both"/>
        <w:divId w:val="388649103"/>
      </w:pPr>
      <w:r>
        <w:rPr>
          <w:rFonts w:hint="eastAsia"/>
          <w:sz w:val="18"/>
          <w:szCs w:val="18"/>
        </w:rPr>
        <w:t>通过债务重组取得的长期股权投资，其初始投资成本按照公允价值为基础确定。</w:t>
      </w:r>
    </w:p>
    <w:p w:rsidR="00BE788E" w:rsidRDefault="00BE788E">
      <w:pPr>
        <w:widowControl/>
        <w:numPr>
          <w:ilvl w:val="0"/>
          <w:numId w:val="59"/>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后续计量及损益确认</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1</w:t>
      </w:r>
      <w:r>
        <w:rPr>
          <w:rFonts w:hint="eastAsia"/>
          <w:sz w:val="18"/>
          <w:szCs w:val="18"/>
        </w:rPr>
        <w:t>）成本法</w:t>
      </w:r>
    </w:p>
    <w:p w:rsidR="00BE788E" w:rsidRDefault="00BE788E" w:rsidP="00B362E5">
      <w:pPr>
        <w:pStyle w:val="a3"/>
        <w:spacing w:before="0" w:beforeAutospacing="0" w:after="0" w:afterAutospacing="0"/>
        <w:ind w:firstLine="420"/>
        <w:jc w:val="both"/>
        <w:divId w:val="388649103"/>
      </w:pPr>
      <w:r>
        <w:rPr>
          <w:rFonts w:hint="eastAsia"/>
          <w:sz w:val="18"/>
          <w:szCs w:val="18"/>
        </w:rPr>
        <w:t>本公司能够对被投资单位实施控制的长期股权投资采用成本法核算，并按照初始投资成本计价，追加或收回投资调整长期股权投资的成本。</w:t>
      </w:r>
    </w:p>
    <w:p w:rsidR="00BE788E" w:rsidRDefault="00BE788E" w:rsidP="00B362E5">
      <w:pPr>
        <w:pStyle w:val="a3"/>
        <w:spacing w:before="0" w:beforeAutospacing="0" w:after="0" w:afterAutospacing="0"/>
        <w:ind w:firstLine="420"/>
        <w:jc w:val="both"/>
        <w:divId w:val="388649103"/>
      </w:pPr>
      <w:r>
        <w:rPr>
          <w:rFonts w:hint="eastAsia"/>
          <w:sz w:val="18"/>
          <w:szCs w:val="18"/>
        </w:rPr>
        <w:t>除取得投资时实际支付的价款或对价中包含的已宣告但尚未发放的现金股利或利润外，本公司按照享有被投资单位宣告分派的现金股利或利润确认为当期投资收益。</w:t>
      </w:r>
    </w:p>
    <w:p w:rsidR="00BE788E" w:rsidRDefault="00BE788E" w:rsidP="00B362E5">
      <w:pPr>
        <w:pStyle w:val="a3"/>
        <w:spacing w:before="0" w:beforeAutospacing="0" w:after="0" w:afterAutospacing="0"/>
        <w:ind w:firstLine="420"/>
        <w:jc w:val="both"/>
        <w:divId w:val="388649103"/>
      </w:pPr>
      <w:r>
        <w:rPr>
          <w:rFonts w:hint="eastAsia"/>
          <w:sz w:val="18"/>
          <w:szCs w:val="18"/>
        </w:rPr>
        <w:t>（</w:t>
      </w:r>
      <w:r>
        <w:rPr>
          <w:rFonts w:ascii="Times New Roman" w:hAnsi="Times New Roman" w:cs="Times New Roman"/>
          <w:sz w:val="18"/>
          <w:szCs w:val="18"/>
        </w:rPr>
        <w:t>2</w:t>
      </w:r>
      <w:r>
        <w:rPr>
          <w:rFonts w:hint="eastAsia"/>
          <w:sz w:val="18"/>
          <w:szCs w:val="18"/>
        </w:rPr>
        <w:t>）权益法</w:t>
      </w:r>
    </w:p>
    <w:p w:rsidR="00BE788E" w:rsidRDefault="00BE788E" w:rsidP="00B362E5">
      <w:pPr>
        <w:pStyle w:val="a3"/>
        <w:spacing w:before="0" w:beforeAutospacing="0" w:after="0" w:afterAutospacing="0"/>
        <w:ind w:firstLine="420"/>
        <w:jc w:val="both"/>
        <w:divId w:val="388649103"/>
      </w:pPr>
      <w:r>
        <w:rPr>
          <w:rFonts w:hint="eastAsia"/>
          <w:sz w:val="18"/>
          <w:szCs w:val="18"/>
        </w:rPr>
        <w:t>本公司对联营企业和合营企业的长期股权投资采用权益法核算；对于其中一部分通过风险投资机构、共同基金、信托公司或包括投</w:t>
      </w:r>
      <w:proofErr w:type="gramStart"/>
      <w:r>
        <w:rPr>
          <w:rFonts w:hint="eastAsia"/>
          <w:sz w:val="18"/>
          <w:szCs w:val="18"/>
        </w:rPr>
        <w:t>连险基金</w:t>
      </w:r>
      <w:proofErr w:type="gramEnd"/>
      <w:r>
        <w:rPr>
          <w:rFonts w:hint="eastAsia"/>
          <w:sz w:val="18"/>
          <w:szCs w:val="18"/>
        </w:rPr>
        <w:t>在内的类似主体间接持有的联营企业的权益性投资，采用公允价值计量且其变动计入损益。</w:t>
      </w:r>
    </w:p>
    <w:p w:rsidR="00BE788E" w:rsidRDefault="00BE788E" w:rsidP="00B362E5">
      <w:pPr>
        <w:pStyle w:val="a3"/>
        <w:spacing w:before="0" w:beforeAutospacing="0" w:after="0" w:afterAutospacing="0"/>
        <w:ind w:firstLine="420"/>
        <w:jc w:val="both"/>
        <w:divId w:val="388649103"/>
      </w:pPr>
      <w:r>
        <w:rPr>
          <w:rFonts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BE788E" w:rsidRDefault="00BE788E" w:rsidP="00B362E5">
      <w:pPr>
        <w:pStyle w:val="a3"/>
        <w:spacing w:before="0" w:beforeAutospacing="0" w:after="0" w:afterAutospacing="0"/>
        <w:ind w:firstLine="420"/>
        <w:jc w:val="both"/>
        <w:divId w:val="388649103"/>
      </w:pPr>
      <w:r>
        <w:rPr>
          <w:rFonts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w:t>
      </w:r>
      <w:r>
        <w:rPr>
          <w:rFonts w:hint="eastAsia"/>
          <w:sz w:val="18"/>
          <w:szCs w:val="18"/>
        </w:rPr>
        <w:lastRenderedPageBreak/>
        <w:t>的部分，相应减少长期股权投资的账面价值；对于被投资单位除净损益、其他综合收益和利润分配以外所有者权益的其他变动，调整长期股权投资的账面价值并计入所有者权益。</w:t>
      </w:r>
    </w:p>
    <w:p w:rsidR="00BE788E" w:rsidRDefault="00BE788E" w:rsidP="00B362E5">
      <w:pPr>
        <w:pStyle w:val="a3"/>
        <w:spacing w:before="0" w:beforeAutospacing="0" w:after="0" w:afterAutospacing="0"/>
        <w:ind w:firstLine="420"/>
        <w:jc w:val="both"/>
        <w:divId w:val="388649103"/>
      </w:pPr>
      <w:r>
        <w:rPr>
          <w:rFonts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Pr>
          <w:rFonts w:hint="eastAsia"/>
          <w:sz w:val="18"/>
          <w:szCs w:val="18"/>
        </w:rPr>
        <w:t>抵销</w:t>
      </w:r>
      <w:proofErr w:type="gramEnd"/>
      <w:r>
        <w:rPr>
          <w:rFonts w:hint="eastAsia"/>
          <w:sz w:val="18"/>
          <w:szCs w:val="18"/>
        </w:rPr>
        <w:t>，在此基础上确认投资损益。</w:t>
      </w:r>
    </w:p>
    <w:p w:rsidR="00BE788E" w:rsidRDefault="00BE788E" w:rsidP="00B362E5">
      <w:pPr>
        <w:pStyle w:val="a3"/>
        <w:spacing w:before="0" w:beforeAutospacing="0" w:after="0" w:afterAutospacing="0"/>
        <w:ind w:firstLine="420"/>
        <w:jc w:val="both"/>
        <w:divId w:val="388649103"/>
      </w:pPr>
      <w:r>
        <w:rPr>
          <w:rFonts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BE788E" w:rsidRDefault="00BE788E" w:rsidP="00B362E5">
      <w:pPr>
        <w:pStyle w:val="a3"/>
        <w:spacing w:before="0" w:beforeAutospacing="0" w:after="0" w:afterAutospacing="0"/>
        <w:ind w:firstLine="420"/>
        <w:jc w:val="both"/>
        <w:divId w:val="388649103"/>
      </w:pPr>
      <w:r>
        <w:rPr>
          <w:rFonts w:hint="eastAsia"/>
          <w:sz w:val="18"/>
          <w:szCs w:val="18"/>
        </w:rPr>
        <w:t>被投资单位以后期间实现盈利的，公司在扣除未确认的亏损分担额后，按与上述相反的顺序处理，</w:t>
      </w:r>
      <w:proofErr w:type="gramStart"/>
      <w:r>
        <w:rPr>
          <w:rFonts w:hint="eastAsia"/>
          <w:sz w:val="18"/>
          <w:szCs w:val="18"/>
        </w:rPr>
        <w:t>减记已</w:t>
      </w:r>
      <w:proofErr w:type="gramEnd"/>
      <w:r>
        <w:rPr>
          <w:rFonts w:hint="eastAsia"/>
          <w:sz w:val="18"/>
          <w:szCs w:val="18"/>
        </w:rPr>
        <w:t>确认预计负债的账面余额、恢复其他实质上构成对被投资单位净投资的长期权益及长期股权投资的账面价值后，恢复确认投资收益。</w:t>
      </w:r>
    </w:p>
    <w:p w:rsidR="00BE788E" w:rsidRDefault="00BE788E">
      <w:pPr>
        <w:widowControl/>
        <w:numPr>
          <w:ilvl w:val="0"/>
          <w:numId w:val="60"/>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长期股权投资核算方法的转换</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公允价值计量转权益法核算</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sidRPr="00B362E5">
        <w:rPr>
          <w:sz w:val="18"/>
          <w:szCs w:val="18"/>
        </w:rPr>
        <w:t>22</w:t>
      </w:r>
      <w:r>
        <w:rPr>
          <w:rFonts w:hint="eastAsia"/>
          <w:sz w:val="18"/>
          <w:szCs w:val="18"/>
        </w:rPr>
        <w:t>号——金融工具确认和计量》确定的原持有的股权投资的公允价值加上新增投资成本之和，作为改按权益法核算的初始投资成本。</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按权益法核算的初始投资成本小于按照追加投资后全新的持股比例计算确定的应享有被投资单位在追加</w:t>
      </w:r>
      <w:proofErr w:type="gramStart"/>
      <w:r>
        <w:rPr>
          <w:rFonts w:hint="eastAsia"/>
          <w:sz w:val="18"/>
          <w:szCs w:val="18"/>
        </w:rPr>
        <w:t>投资日</w:t>
      </w:r>
      <w:proofErr w:type="gramEnd"/>
      <w:r>
        <w:rPr>
          <w:rFonts w:hint="eastAsia"/>
          <w:sz w:val="18"/>
          <w:szCs w:val="18"/>
        </w:rPr>
        <w:t>可辨认净资产公允价值份额之间的差额，调整长期股权投资的账面价值，并计入当期营业外收入。</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公允价值计量或权益法核算</w:t>
      </w:r>
      <w:proofErr w:type="gramStart"/>
      <w:r w:rsidRPr="00B362E5">
        <w:rPr>
          <w:rFonts w:hint="eastAsia"/>
          <w:sz w:val="18"/>
          <w:szCs w:val="18"/>
        </w:rPr>
        <w:t>转成本</w:t>
      </w:r>
      <w:proofErr w:type="gramEnd"/>
      <w:r w:rsidRPr="00B362E5">
        <w:rPr>
          <w:rFonts w:hint="eastAsia"/>
          <w:sz w:val="18"/>
          <w:szCs w:val="18"/>
        </w:rPr>
        <w:t>法核算</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Pr>
          <w:rFonts w:hint="eastAsia"/>
          <w:sz w:val="18"/>
          <w:szCs w:val="18"/>
        </w:rPr>
        <w:t>一控制</w:t>
      </w:r>
      <w:proofErr w:type="gramEnd"/>
      <w:r>
        <w:rPr>
          <w:rFonts w:hint="eastAsia"/>
          <w:sz w:val="18"/>
          <w:szCs w:val="18"/>
        </w:rPr>
        <w:t>下的被投资单位实施控制的，在编制个别财务报表时，按照原持有的股权投资账面价值加上新增投资成本之和，作为改按成本法核算的初始投资成本。</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购买日之前持有的股权投资因采用权益法核算而确认的其他综合收益，在处置该项投资时采用与被投资单位直接处置相关资产或负债相同的基础进行会计处理。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购买日之前持有的股权投资按照《企业会计准则第</w:t>
      </w:r>
      <w:r w:rsidRPr="00B362E5">
        <w:rPr>
          <w:sz w:val="18"/>
          <w:szCs w:val="18"/>
        </w:rPr>
        <w:t>22</w:t>
      </w:r>
      <w:r>
        <w:rPr>
          <w:rFonts w:hint="eastAsia"/>
          <w:sz w:val="18"/>
          <w:szCs w:val="18"/>
        </w:rPr>
        <w:t>号——金融工具确认和计量》的有关规定进行会计处理的，原计入其他综合收益的累计公允价值变动在改按成本法核算时转入当期损益。</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权益法核算转公允价值计量</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本公司因处置部分股权投资等原因丧失了对被投资单位的共同控制或重大影响的，处置后的剩余股权改按《企业会计准则第</w:t>
      </w:r>
      <w:r w:rsidRPr="00B362E5">
        <w:rPr>
          <w:sz w:val="18"/>
          <w:szCs w:val="18"/>
        </w:rPr>
        <w:t>22</w:t>
      </w:r>
      <w:r>
        <w:rPr>
          <w:rFonts w:hint="eastAsia"/>
          <w:sz w:val="18"/>
          <w:szCs w:val="18"/>
        </w:rPr>
        <w:t>号——金融工具确认和计量》核算，其在丧失共同控制或重大影响之日的公允价值与账面价值之间的差额计入当期损益。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原股权投资因采用权益法核算而确认的其他综合收益，在终止采用权益法核算时采用与被投资单位直接处置相关资产或负债相同的基础进行会计处理。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sidRPr="00B362E5">
        <w:rPr>
          <w:rFonts w:hint="eastAsia"/>
          <w:sz w:val="18"/>
          <w:szCs w:val="18"/>
        </w:rPr>
        <w:t>成本</w:t>
      </w:r>
      <w:proofErr w:type="gramStart"/>
      <w:r w:rsidRPr="00B362E5">
        <w:rPr>
          <w:rFonts w:hint="eastAsia"/>
          <w:sz w:val="18"/>
          <w:szCs w:val="18"/>
        </w:rPr>
        <w:t>法转权益</w:t>
      </w:r>
      <w:proofErr w:type="gramEnd"/>
      <w:r w:rsidRPr="00B362E5">
        <w:rPr>
          <w:rFonts w:hint="eastAsia"/>
          <w:sz w:val="18"/>
          <w:szCs w:val="18"/>
        </w:rPr>
        <w:t>法</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BE788E" w:rsidRPr="00B362E5" w:rsidRDefault="00BE788E" w:rsidP="00B362E5">
      <w:pPr>
        <w:pStyle w:val="a3"/>
        <w:spacing w:before="0" w:beforeAutospacing="0" w:after="0" w:afterAutospacing="0"/>
        <w:ind w:firstLine="420"/>
        <w:jc w:val="both"/>
        <w:divId w:val="388649103"/>
        <w:rPr>
          <w:sz w:val="18"/>
          <w:szCs w:val="18"/>
        </w:rPr>
      </w:pPr>
      <w:proofErr w:type="gramStart"/>
      <w:r w:rsidRPr="00B362E5">
        <w:rPr>
          <w:rFonts w:hint="eastAsia"/>
          <w:sz w:val="18"/>
          <w:szCs w:val="18"/>
        </w:rPr>
        <w:t>成本法转公允</w:t>
      </w:r>
      <w:proofErr w:type="gramEnd"/>
      <w:r w:rsidRPr="00B362E5">
        <w:rPr>
          <w:rFonts w:hint="eastAsia"/>
          <w:sz w:val="18"/>
          <w:szCs w:val="18"/>
        </w:rPr>
        <w:t>价值计量</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lastRenderedPageBreak/>
        <w:t>本公司因处置部分权益性投资等原因丧失了对被投资单位的控制的，在编制个别财务报表时，处置后的剩余股权不能对被投资单位实施共同控制或施加重大影响的，改按《企业会计准则第</w:t>
      </w:r>
      <w:r w:rsidRPr="00B362E5">
        <w:rPr>
          <w:sz w:val="18"/>
          <w:szCs w:val="18"/>
        </w:rPr>
        <w:t>22</w:t>
      </w:r>
      <w:r>
        <w:rPr>
          <w:rFonts w:hint="eastAsia"/>
          <w:sz w:val="18"/>
          <w:szCs w:val="18"/>
        </w:rPr>
        <w:t>号——金融工具确认和计量》的有关规定进行会计处理，其在丧失控制之日的公允价值与账面价值间的差额计入当期损益。</w:t>
      </w:r>
    </w:p>
    <w:p w:rsidR="00BE788E" w:rsidRDefault="00BE788E" w:rsidP="00F34484">
      <w:pPr>
        <w:widowControl/>
        <w:numPr>
          <w:ilvl w:val="0"/>
          <w:numId w:val="61"/>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长期股权投资的处置</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处置对子公司股权投资的各项交易的条款、条件以及经济影响符合以下一种或多种情况，将多次交易事项作为一揽子交易进行会计处理：</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这些交易是同时或者在考虑了彼此影响的情况下订立的；</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这些交易整体才能达成一项完整的商业结果；</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一项交易的发生取决于其他至少一项交易的发生；</w:t>
      </w:r>
    </w:p>
    <w:p w:rsidR="00BE788E" w:rsidRDefault="00BE788E" w:rsidP="00F34484">
      <w:pPr>
        <w:widowControl/>
        <w:numPr>
          <w:ilvl w:val="0"/>
          <w:numId w:val="62"/>
        </w:numPr>
        <w:divId w:val="388649103"/>
        <w:rPr>
          <w:rFonts w:ascii="Calibri" w:hAnsi="Calibri" w:cs="Calibri"/>
          <w:szCs w:val="21"/>
        </w:rPr>
      </w:pPr>
      <w:r>
        <w:rPr>
          <w:rFonts w:cs="Calibri" w:hint="eastAsia"/>
          <w:sz w:val="18"/>
          <w:szCs w:val="18"/>
        </w:rPr>
        <w:t>一项交易单独看是不经济的，但是和其他交易一并考虑时是经济的。</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因处置部分股权投资或其他原因丧失了对原有子公司控制权的，不属于一揽子交易的，区分个别财务报表和合并财务报表进行相关会计处理：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1</w:t>
      </w:r>
      <w:r>
        <w:rPr>
          <w:rFonts w:hint="eastAsia"/>
          <w:sz w:val="18"/>
          <w:szCs w:val="18"/>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2</w:t>
      </w:r>
      <w:r>
        <w:rPr>
          <w:rFonts w:hint="eastAsia"/>
          <w:sz w:val="18"/>
          <w:szCs w:val="18"/>
        </w:rPr>
        <w:t>）在合并财务报表中，对于在丧失对子公司控制权以前的各项交易，处置价款与处置长期股权投资相应对享有子公司自购买日或</w:t>
      </w:r>
      <w:proofErr w:type="gramStart"/>
      <w:r>
        <w:rPr>
          <w:rFonts w:hint="eastAsia"/>
          <w:sz w:val="18"/>
          <w:szCs w:val="18"/>
        </w:rPr>
        <w:t>合并日</w:t>
      </w:r>
      <w:proofErr w:type="gramEnd"/>
      <w:r>
        <w:rPr>
          <w:rFonts w:hint="eastAsia"/>
          <w:sz w:val="18"/>
          <w:szCs w:val="18"/>
        </w:rPr>
        <w:t>开始持续计算的净资产份额之间的差额，调整资本公积（股本溢价），资本公</w:t>
      </w:r>
      <w:proofErr w:type="gramStart"/>
      <w:r>
        <w:rPr>
          <w:rFonts w:hint="eastAsia"/>
          <w:sz w:val="18"/>
          <w:szCs w:val="18"/>
        </w:rPr>
        <w:t>积不足</w:t>
      </w:r>
      <w:proofErr w:type="gramEnd"/>
      <w:r>
        <w:rPr>
          <w:rFonts w:hint="eastAsia"/>
          <w:sz w:val="18"/>
          <w:szCs w:val="18"/>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1</w:t>
      </w:r>
      <w:r>
        <w:rPr>
          <w:rFonts w:hint="eastAsia"/>
          <w:sz w:val="18"/>
          <w:szCs w:val="18"/>
        </w:rPr>
        <w:t>）在个别财务报表中，在丧失控制权之前每一次处置价款与处置的股权对应的长期股权投资账面价值之间的差额，确认为其他综合收益，在丧失控制权时一并转入丧失控制权当期的损益。</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w:t>
      </w:r>
      <w:r w:rsidRPr="00B362E5">
        <w:rPr>
          <w:sz w:val="18"/>
          <w:szCs w:val="18"/>
        </w:rPr>
        <w:t>2</w:t>
      </w:r>
      <w:r>
        <w:rPr>
          <w:rFonts w:hint="eastAsia"/>
          <w:sz w:val="18"/>
          <w:szCs w:val="18"/>
        </w:rPr>
        <w:t>）在合并财务报表中，在丧失控制权之前每一次处置价款与处置投资对应的享有该子公司净资产份额的差额，确认为其他综合收益，在丧失控制权时一并转入丧失控制权当期的损益。</w:t>
      </w:r>
    </w:p>
    <w:p w:rsidR="00BE788E" w:rsidRDefault="00BE788E" w:rsidP="00F34484">
      <w:pPr>
        <w:widowControl/>
        <w:numPr>
          <w:ilvl w:val="0"/>
          <w:numId w:val="63"/>
        </w:numPr>
        <w:spacing w:before="100" w:beforeAutospacing="1" w:after="100" w:afterAutospacing="1"/>
        <w:divId w:val="388649103"/>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共同控制、重大影响的判断标准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如果本公司按照相关约定与其他参与</w:t>
      </w:r>
      <w:proofErr w:type="gramStart"/>
      <w:r>
        <w:rPr>
          <w:rFonts w:hint="eastAsia"/>
          <w:sz w:val="18"/>
          <w:szCs w:val="18"/>
        </w:rPr>
        <w:t>方集体</w:t>
      </w:r>
      <w:proofErr w:type="gramEnd"/>
      <w:r>
        <w:rPr>
          <w:rFonts w:hint="eastAsia"/>
          <w:sz w:val="18"/>
          <w:szCs w:val="18"/>
        </w:rPr>
        <w:t>控制某项安排，并且对该安排回报具有重大影响的活动决策，需要经过分享控制权的参与方一致同意时才存在，则视为本公司与其他参与方共同控制某项安排，该安排即属于合营安排。</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BE788E" w:rsidRPr="00B362E5" w:rsidRDefault="00BE788E" w:rsidP="00B362E5">
      <w:pPr>
        <w:pStyle w:val="a3"/>
        <w:spacing w:before="0" w:beforeAutospacing="0" w:after="0" w:afterAutospacing="0"/>
        <w:ind w:firstLine="420"/>
        <w:jc w:val="both"/>
        <w:divId w:val="388649103"/>
        <w:rPr>
          <w:sz w:val="18"/>
          <w:szCs w:val="18"/>
        </w:rPr>
      </w:pPr>
      <w:r>
        <w:rPr>
          <w:rFonts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w:t>
      </w:r>
      <w:r>
        <w:rPr>
          <w:rFonts w:hint="eastAsia"/>
          <w:sz w:val="18"/>
          <w:szCs w:val="18"/>
        </w:rPr>
        <w:lastRenderedPageBreak/>
        <w:t>响：（</w:t>
      </w:r>
      <w:r w:rsidRPr="00B362E5">
        <w:rPr>
          <w:sz w:val="18"/>
          <w:szCs w:val="18"/>
        </w:rPr>
        <w:t>1</w:t>
      </w:r>
      <w:r>
        <w:rPr>
          <w:rFonts w:hint="eastAsia"/>
          <w:sz w:val="18"/>
          <w:szCs w:val="18"/>
        </w:rPr>
        <w:t>）在被投资单位的董事会或类似权力机构中派有代表；（</w:t>
      </w:r>
      <w:r w:rsidRPr="00B362E5">
        <w:rPr>
          <w:sz w:val="18"/>
          <w:szCs w:val="18"/>
        </w:rPr>
        <w:t>2</w:t>
      </w:r>
      <w:r>
        <w:rPr>
          <w:rFonts w:hint="eastAsia"/>
          <w:sz w:val="18"/>
          <w:szCs w:val="18"/>
        </w:rPr>
        <w:t>）参与被投资单位财务和经营政策制定过程；（</w:t>
      </w:r>
      <w:r w:rsidRPr="00B362E5">
        <w:rPr>
          <w:sz w:val="18"/>
          <w:szCs w:val="18"/>
        </w:rPr>
        <w:t>3</w:t>
      </w:r>
      <w:r>
        <w:rPr>
          <w:rFonts w:hint="eastAsia"/>
          <w:sz w:val="18"/>
          <w:szCs w:val="18"/>
        </w:rPr>
        <w:t>）与被投资单位之间发生重要交易；（</w:t>
      </w:r>
      <w:r w:rsidRPr="00B362E5">
        <w:rPr>
          <w:sz w:val="18"/>
          <w:szCs w:val="18"/>
        </w:rPr>
        <w:t>4</w:t>
      </w:r>
      <w:r>
        <w:rPr>
          <w:rFonts w:hint="eastAsia"/>
          <w:sz w:val="18"/>
          <w:szCs w:val="18"/>
        </w:rPr>
        <w:t>）向被投资单位派出管理人员；（</w:t>
      </w:r>
      <w:r w:rsidRPr="00B362E5">
        <w:rPr>
          <w:sz w:val="18"/>
          <w:szCs w:val="18"/>
        </w:rPr>
        <w:t>5</w:t>
      </w:r>
      <w:r>
        <w:rPr>
          <w:rFonts w:hint="eastAsia"/>
          <w:sz w:val="18"/>
          <w:szCs w:val="18"/>
        </w:rPr>
        <w:t>）向被投资单位提供关键技术资料。</w:t>
      </w:r>
    </w:p>
    <w:p w:rsidR="00037019" w:rsidRDefault="00BE788E">
      <w:pPr>
        <w:pStyle w:val="3"/>
        <w:spacing w:line="280" w:lineRule="exact"/>
        <w:jc w:val="left"/>
        <w:rPr>
          <w:rFonts w:ascii="宋体" w:hAnsi="宋体" w:cs="宋体"/>
          <w:b/>
          <w:bCs/>
        </w:rPr>
      </w:pPr>
      <w:bookmarkStart w:id="140" w:name="_Toc989029"/>
      <w:r>
        <w:rPr>
          <w:rFonts w:ascii="宋体" w:hAnsi="宋体" w:cs="宋体"/>
          <w:b/>
          <w:bCs/>
        </w:rPr>
        <w:t>23、投资性房地产</w:t>
      </w:r>
      <w:bookmarkEnd w:id="140"/>
    </w:p>
    <w:p w:rsidR="00037019" w:rsidRDefault="00BE788E" w:rsidP="00B362E5">
      <w:pPr>
        <w:pStyle w:val="a3"/>
        <w:spacing w:before="0" w:beforeAutospacing="0" w:after="0" w:afterAutospacing="0"/>
        <w:ind w:firstLine="420"/>
        <w:jc w:val="both"/>
        <w:rPr>
          <w:sz w:val="18"/>
          <w:szCs w:val="18"/>
        </w:rPr>
      </w:pPr>
      <w:r>
        <w:rPr>
          <w:sz w:val="18"/>
          <w:szCs w:val="18"/>
        </w:rPr>
        <w:t>投资性房地产计量模式</w:t>
      </w:r>
    </w:p>
    <w:p w:rsidR="00037019" w:rsidRDefault="00BE788E" w:rsidP="00B362E5">
      <w:pPr>
        <w:pStyle w:val="a3"/>
        <w:spacing w:before="0" w:beforeAutospacing="0" w:after="0" w:afterAutospacing="0"/>
        <w:ind w:firstLine="420"/>
        <w:jc w:val="both"/>
        <w:rPr>
          <w:sz w:val="18"/>
          <w:szCs w:val="18"/>
        </w:rPr>
      </w:pPr>
      <w:r>
        <w:rPr>
          <w:sz w:val="18"/>
          <w:szCs w:val="18"/>
        </w:rPr>
        <w:t>成本法计量</w:t>
      </w:r>
    </w:p>
    <w:p w:rsidR="00037019" w:rsidRDefault="00BE788E" w:rsidP="00B362E5">
      <w:pPr>
        <w:pStyle w:val="a3"/>
        <w:spacing w:before="0" w:beforeAutospacing="0" w:after="0" w:afterAutospacing="0"/>
        <w:ind w:firstLine="420"/>
        <w:jc w:val="both"/>
        <w:rPr>
          <w:sz w:val="18"/>
          <w:szCs w:val="18"/>
        </w:rPr>
      </w:pPr>
      <w:r>
        <w:rPr>
          <w:sz w:val="18"/>
          <w:szCs w:val="18"/>
        </w:rPr>
        <w:t>折旧或摊销方法</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投资性房地产是指为赚取租金或资本增值，或两者兼有而持有的房地产，包括已出租的土地使用权、持有并</w:t>
      </w:r>
      <w:proofErr w:type="gramStart"/>
      <w:r>
        <w:rPr>
          <w:rFonts w:hint="eastAsia"/>
          <w:sz w:val="18"/>
          <w:szCs w:val="18"/>
        </w:rPr>
        <w:t>准备增值</w:t>
      </w:r>
      <w:proofErr w:type="gramEnd"/>
      <w:r>
        <w:rPr>
          <w:rFonts w:hint="eastAsia"/>
          <w:sz w:val="18"/>
          <w:szCs w:val="18"/>
        </w:rPr>
        <w:t>后转让的土地使用权、已出租的建筑物。此外，对于本公司持有以备经营出租的空置建筑物，若董事会</w:t>
      </w:r>
      <w:proofErr w:type="gramStart"/>
      <w:r>
        <w:rPr>
          <w:rFonts w:hint="eastAsia"/>
          <w:sz w:val="18"/>
          <w:szCs w:val="18"/>
        </w:rPr>
        <w:t>作出</w:t>
      </w:r>
      <w:proofErr w:type="gramEnd"/>
      <w:r>
        <w:rPr>
          <w:rFonts w:hint="eastAsia"/>
          <w:sz w:val="18"/>
          <w:szCs w:val="18"/>
        </w:rPr>
        <w:t>书面决议，明确表示将其用于经营出租且持有意图短期内不再发生变化的，也作为投资性房地产列报。</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本公司的投资性房地产按其成本作为入账价值，外购投资性房地产的成本包括购买价款、相关税费和</w:t>
      </w:r>
      <w:proofErr w:type="gramStart"/>
      <w:r>
        <w:rPr>
          <w:rFonts w:hint="eastAsia"/>
          <w:sz w:val="18"/>
          <w:szCs w:val="18"/>
        </w:rPr>
        <w:t>可</w:t>
      </w:r>
      <w:proofErr w:type="gramEnd"/>
      <w:r>
        <w:rPr>
          <w:rFonts w:hint="eastAsia"/>
          <w:sz w:val="18"/>
          <w:szCs w:val="18"/>
        </w:rPr>
        <w:t>直接归属于该资产的其他支出；自行建造投资性房地产的成本，由建造该项资产达到预定可使用状态前所发生的必要支出构成。</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9153"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1|0|desc|||0|1"/>
      </w:tblPr>
      <w:tblGrid>
        <w:gridCol w:w="2128"/>
        <w:gridCol w:w="1986"/>
        <w:gridCol w:w="2270"/>
        <w:gridCol w:w="2769"/>
      </w:tblGrid>
      <w:tr w:rsidR="00BE788E" w:rsidTr="00B362E5">
        <w:trPr>
          <w:divId w:val="1942060189"/>
          <w:trHeight w:val="340"/>
          <w:tblHeader/>
          <w:jc w:val="center"/>
        </w:trPr>
        <w:tc>
          <w:tcPr>
            <w:tcW w:w="2128" w:type="dxa"/>
            <w:tcBorders>
              <w:top w:val="single" w:sz="8" w:space="0" w:color="auto"/>
              <w:left w:val="single" w:sz="8" w:space="0" w:color="auto"/>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类别</w:t>
            </w:r>
          </w:p>
        </w:tc>
        <w:tc>
          <w:tcPr>
            <w:tcW w:w="1986"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预计使用寿命（年）</w:t>
            </w:r>
          </w:p>
        </w:tc>
        <w:tc>
          <w:tcPr>
            <w:tcW w:w="2270"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预计净残值率（</w:t>
            </w:r>
            <w:r>
              <w:rPr>
                <w:rFonts w:ascii="Times New Roman" w:hAnsi="Times New Roman" w:cs="Times New Roman"/>
                <w:sz w:val="18"/>
                <w:szCs w:val="18"/>
              </w:rPr>
              <w:t>%</w:t>
            </w:r>
            <w:r>
              <w:rPr>
                <w:rFonts w:hint="eastAsia"/>
                <w:sz w:val="18"/>
                <w:szCs w:val="18"/>
              </w:rPr>
              <w:t>）</w:t>
            </w:r>
          </w:p>
        </w:tc>
        <w:tc>
          <w:tcPr>
            <w:tcW w:w="2769" w:type="dxa"/>
            <w:tcBorders>
              <w:top w:val="single" w:sz="8" w:space="0" w:color="auto"/>
              <w:left w:val="nil"/>
              <w:bottom w:val="single" w:sz="8" w:space="0" w:color="auto"/>
              <w:right w:val="single" w:sz="8" w:space="0" w:color="auto"/>
            </w:tcBorders>
            <w:shd w:val="clear" w:color="auto" w:fill="D3D3D3"/>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年折旧（摊销）率（</w:t>
            </w:r>
            <w:r>
              <w:rPr>
                <w:rFonts w:ascii="Times New Roman" w:hAnsi="Times New Roman" w:cs="Times New Roman"/>
                <w:sz w:val="18"/>
                <w:szCs w:val="18"/>
              </w:rPr>
              <w:t>%</w:t>
            </w:r>
            <w:r>
              <w:rPr>
                <w:rFonts w:hint="eastAsia"/>
                <w:sz w:val="18"/>
                <w:szCs w:val="18"/>
              </w:rPr>
              <w:t>）</w:t>
            </w:r>
          </w:p>
        </w:tc>
      </w:tr>
      <w:tr w:rsidR="00BE788E">
        <w:trPr>
          <w:divId w:val="1942060189"/>
          <w:trHeight w:val="340"/>
          <w:jc w:val="center"/>
        </w:trPr>
        <w:tc>
          <w:tcPr>
            <w:tcW w:w="21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hint="eastAsia"/>
                <w:sz w:val="18"/>
                <w:szCs w:val="18"/>
              </w:rPr>
              <w:t>房屋建筑物</w:t>
            </w:r>
          </w:p>
        </w:tc>
        <w:tc>
          <w:tcPr>
            <w:tcW w:w="1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ascii="Times New Roman" w:hAnsi="Times New Roman" w:cs="Times New Roman"/>
                <w:sz w:val="18"/>
                <w:szCs w:val="18"/>
              </w:rPr>
              <w:t>25.00</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ascii="Times New Roman" w:hAnsi="Times New Roman" w:cs="Times New Roman"/>
                <w:sz w:val="18"/>
                <w:szCs w:val="18"/>
              </w:rPr>
              <w:t>10.00</w:t>
            </w:r>
          </w:p>
        </w:tc>
        <w:tc>
          <w:tcPr>
            <w:tcW w:w="2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pPr>
            <w:r>
              <w:rPr>
                <w:rFonts w:ascii="Times New Roman" w:hAnsi="Times New Roman" w:cs="Times New Roman"/>
                <w:sz w:val="18"/>
                <w:szCs w:val="18"/>
              </w:rPr>
              <w:t>3.60</w:t>
            </w:r>
          </w:p>
        </w:tc>
      </w:tr>
    </w:tbl>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投资性房地产的减值测试方法和减值准备计提方法详见30.长期资产减值。</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投资性房地产的用途改变为自用时，</w:t>
      </w:r>
      <w:proofErr w:type="gramStart"/>
      <w:r>
        <w:rPr>
          <w:rFonts w:hint="eastAsia"/>
          <w:sz w:val="18"/>
          <w:szCs w:val="18"/>
        </w:rPr>
        <w:t>自改变</w:t>
      </w:r>
      <w:proofErr w:type="gramEnd"/>
      <w:r>
        <w:rPr>
          <w:rFonts w:hint="eastAsia"/>
          <w:sz w:val="18"/>
          <w:szCs w:val="18"/>
        </w:rPr>
        <w:t>之日起，本公司将该投资性房地产转换为固定资产或无形资产。自用房地产的用途改变为赚取租金或资本增值时，</w:t>
      </w:r>
      <w:proofErr w:type="gramStart"/>
      <w:r>
        <w:rPr>
          <w:rFonts w:hint="eastAsia"/>
          <w:sz w:val="18"/>
          <w:szCs w:val="18"/>
        </w:rPr>
        <w:t>自改变</w:t>
      </w:r>
      <w:proofErr w:type="gramEnd"/>
      <w:r>
        <w:rPr>
          <w:rFonts w:hint="eastAsia"/>
          <w:sz w:val="18"/>
          <w:szCs w:val="18"/>
        </w:rPr>
        <w:t>之日起，本公司将固定资产或无形资产转换为投资性房地产。发生转换时，以转换前的账面价值作为转换后的入账价值。</w:t>
      </w:r>
    </w:p>
    <w:p w:rsidR="00BE788E" w:rsidRPr="00B362E5" w:rsidRDefault="00BE788E" w:rsidP="00B362E5">
      <w:pPr>
        <w:pStyle w:val="a3"/>
        <w:spacing w:before="0" w:beforeAutospacing="0" w:after="0" w:afterAutospacing="0"/>
        <w:ind w:firstLine="420"/>
        <w:jc w:val="both"/>
        <w:divId w:val="1942060189"/>
        <w:rPr>
          <w:sz w:val="18"/>
          <w:szCs w:val="18"/>
        </w:rPr>
      </w:pPr>
      <w:r>
        <w:rPr>
          <w:rFonts w:hint="eastAsia"/>
          <w:sz w:val="18"/>
          <w:szCs w:val="18"/>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p>
    <w:p w:rsidR="00037019" w:rsidRDefault="00BE788E">
      <w:pPr>
        <w:pStyle w:val="3"/>
        <w:spacing w:line="280" w:lineRule="exact"/>
        <w:jc w:val="left"/>
        <w:rPr>
          <w:rFonts w:ascii="宋体" w:hAnsi="宋体" w:cs="宋体"/>
          <w:b/>
          <w:bCs/>
        </w:rPr>
      </w:pPr>
      <w:bookmarkStart w:id="141" w:name="_Toc989030"/>
      <w:r>
        <w:rPr>
          <w:rFonts w:ascii="宋体" w:hAnsi="宋体" w:cs="宋体"/>
          <w:b/>
          <w:bCs/>
        </w:rPr>
        <w:t>24、固定资产</w:t>
      </w:r>
      <w:bookmarkEnd w:id="141"/>
    </w:p>
    <w:p w:rsidR="00037019" w:rsidRDefault="00BE788E">
      <w:pPr>
        <w:keepNext/>
        <w:keepLines/>
        <w:spacing w:before="300" w:after="300" w:line="280" w:lineRule="exact"/>
        <w:outlineLvl w:val="3"/>
        <w:rPr>
          <w:rFonts w:ascii="宋体" w:eastAsia="宋体" w:hAnsi="宋体" w:cs="宋体"/>
          <w:b/>
          <w:bCs/>
          <w:szCs w:val="21"/>
        </w:rPr>
      </w:pPr>
      <w:bookmarkStart w:id="142" w:name="_Toc989031"/>
      <w:r>
        <w:rPr>
          <w:rFonts w:ascii="宋体" w:eastAsia="宋体" w:hAnsi="宋体" w:cs="宋体"/>
          <w:b/>
          <w:bCs/>
          <w:szCs w:val="21"/>
        </w:rPr>
        <w:t>（1） 确认条件</w:t>
      </w:r>
      <w:bookmarkEnd w:id="142"/>
    </w:p>
    <w:p w:rsidR="00BE788E" w:rsidRDefault="00BE788E" w:rsidP="00B362E5">
      <w:pPr>
        <w:pStyle w:val="a3"/>
        <w:spacing w:before="0" w:beforeAutospacing="0" w:after="0" w:afterAutospacing="0"/>
        <w:ind w:firstLine="420"/>
        <w:jc w:val="both"/>
        <w:divId w:val="1277250950"/>
        <w:rPr>
          <w:sz w:val="18"/>
          <w:szCs w:val="18"/>
        </w:rPr>
      </w:pPr>
      <w:r>
        <w:rPr>
          <w:rFonts w:hint="eastAsia"/>
          <w:sz w:val="18"/>
          <w:szCs w:val="18"/>
        </w:rPr>
        <w:t>固定资产指为生产商品、提供劳务、出租或经营管理而持有，并且使用寿命超过一个会计年度的有形资产。固定资产在同时满足下列条件时予以确认：</w:t>
      </w:r>
    </w:p>
    <w:p w:rsidR="00BE788E" w:rsidRDefault="00BE788E" w:rsidP="00B362E5">
      <w:pPr>
        <w:pStyle w:val="a3"/>
        <w:spacing w:before="0" w:beforeAutospacing="0" w:after="0" w:afterAutospacing="0"/>
        <w:ind w:firstLine="420"/>
        <w:jc w:val="both"/>
        <w:divId w:val="1277250950"/>
        <w:rPr>
          <w:sz w:val="18"/>
          <w:szCs w:val="18"/>
        </w:rPr>
      </w:pPr>
      <w:r>
        <w:rPr>
          <w:rFonts w:hint="eastAsia"/>
          <w:sz w:val="18"/>
          <w:szCs w:val="18"/>
        </w:rPr>
        <w:t>（1）与该固定资产有关的经济利益很可能流入企业；</w:t>
      </w:r>
    </w:p>
    <w:p w:rsidR="00BE788E" w:rsidRDefault="00BE788E" w:rsidP="00B362E5">
      <w:pPr>
        <w:pStyle w:val="a3"/>
        <w:spacing w:before="0" w:beforeAutospacing="0" w:after="0" w:afterAutospacing="0"/>
        <w:ind w:firstLine="420"/>
        <w:jc w:val="both"/>
        <w:divId w:val="1277250950"/>
        <w:rPr>
          <w:sz w:val="18"/>
          <w:szCs w:val="18"/>
        </w:rPr>
      </w:pPr>
      <w:r>
        <w:rPr>
          <w:rFonts w:hint="eastAsia"/>
          <w:sz w:val="18"/>
          <w:szCs w:val="18"/>
        </w:rPr>
        <w:t>（2）该固定资产的成本能够可靠地计量。</w:t>
      </w:r>
    </w:p>
    <w:p w:rsidR="00037019" w:rsidRDefault="00BE788E">
      <w:pPr>
        <w:keepNext/>
        <w:keepLines/>
        <w:spacing w:before="300" w:after="300" w:line="280" w:lineRule="exact"/>
        <w:outlineLvl w:val="3"/>
        <w:rPr>
          <w:rFonts w:ascii="宋体" w:eastAsia="宋体" w:hAnsi="宋体" w:cs="宋体"/>
          <w:b/>
          <w:bCs/>
          <w:szCs w:val="21"/>
        </w:rPr>
      </w:pPr>
      <w:bookmarkStart w:id="143" w:name="_Toc989032"/>
      <w:r>
        <w:rPr>
          <w:rFonts w:ascii="宋体" w:eastAsia="宋体" w:hAnsi="宋体" w:cs="宋体"/>
          <w:b/>
          <w:bCs/>
          <w:szCs w:val="21"/>
        </w:rPr>
        <w:t>（2） 折旧方法</w:t>
      </w:r>
      <w:bookmarkEnd w:id="14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年折旧率</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25.00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3.60%</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9.00%</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18.00%</w:t>
            </w:r>
          </w:p>
        </w:tc>
      </w:tr>
      <w:tr w:rsidR="00037019" w:rsidTr="00B362E5">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18.00%</w:t>
            </w:r>
          </w:p>
        </w:tc>
      </w:tr>
    </w:tbl>
    <w:p w:rsidR="00037019" w:rsidRDefault="00BE788E">
      <w:pPr>
        <w:pStyle w:val="3"/>
        <w:spacing w:line="280" w:lineRule="exact"/>
        <w:jc w:val="left"/>
        <w:rPr>
          <w:rFonts w:ascii="宋体" w:hAnsi="宋体" w:cs="宋体"/>
          <w:b/>
          <w:bCs/>
        </w:rPr>
      </w:pPr>
      <w:bookmarkStart w:id="144" w:name="_Toc989033"/>
      <w:r>
        <w:rPr>
          <w:rFonts w:ascii="宋体" w:hAnsi="宋体" w:cs="宋体"/>
          <w:b/>
          <w:bCs/>
        </w:rPr>
        <w:t>25、在建工程</w:t>
      </w:r>
      <w:bookmarkEnd w:id="144"/>
    </w:p>
    <w:p w:rsidR="00BE788E" w:rsidRPr="00B362E5" w:rsidRDefault="00BE788E" w:rsidP="00B362E5">
      <w:pPr>
        <w:pStyle w:val="a3"/>
        <w:spacing w:before="0" w:beforeAutospacing="0" w:after="0" w:afterAutospacing="0"/>
        <w:ind w:firstLine="420"/>
        <w:jc w:val="both"/>
        <w:divId w:val="1785033913"/>
        <w:rPr>
          <w:sz w:val="18"/>
          <w:szCs w:val="18"/>
        </w:rPr>
      </w:pPr>
      <w:r>
        <w:rPr>
          <w:rFonts w:hint="eastAsia"/>
          <w:sz w:val="18"/>
          <w:szCs w:val="18"/>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BE788E" w:rsidRPr="00B362E5" w:rsidRDefault="00BE788E" w:rsidP="00B362E5">
      <w:pPr>
        <w:pStyle w:val="a3"/>
        <w:spacing w:before="0" w:beforeAutospacing="0" w:after="0" w:afterAutospacing="0"/>
        <w:ind w:firstLine="420"/>
        <w:jc w:val="both"/>
        <w:divId w:val="1785033913"/>
        <w:rPr>
          <w:sz w:val="18"/>
          <w:szCs w:val="18"/>
        </w:rPr>
      </w:pPr>
      <w:r>
        <w:rPr>
          <w:rFonts w:hint="eastAsia"/>
          <w:sz w:val="18"/>
          <w:szCs w:val="18"/>
        </w:rPr>
        <w:lastRenderedPageBreak/>
        <w:t>在建工程项目按建造该项资产达到预定可使用状态前所发生的全部支出，作为固定资产的入账价值。所建造的在建工程已达到预定可使用状态，但尚未办理竣工决算的，</w:t>
      </w:r>
      <w:proofErr w:type="gramStart"/>
      <w:r>
        <w:rPr>
          <w:rFonts w:hint="eastAsia"/>
          <w:sz w:val="18"/>
          <w:szCs w:val="18"/>
        </w:rPr>
        <w:t>自达到</w:t>
      </w:r>
      <w:proofErr w:type="gramEnd"/>
      <w:r>
        <w:rPr>
          <w:rFonts w:hint="eastAsia"/>
          <w:sz w:val="18"/>
          <w:szCs w:val="18"/>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BE788E" w:rsidRPr="00B362E5" w:rsidRDefault="00BE788E" w:rsidP="00B362E5">
      <w:pPr>
        <w:pStyle w:val="a3"/>
        <w:spacing w:before="0" w:beforeAutospacing="0" w:after="0" w:afterAutospacing="0"/>
        <w:ind w:firstLine="420"/>
        <w:jc w:val="both"/>
        <w:divId w:val="1785033913"/>
        <w:rPr>
          <w:sz w:val="18"/>
          <w:szCs w:val="18"/>
        </w:rPr>
      </w:pPr>
      <w:r>
        <w:rPr>
          <w:rFonts w:hint="eastAsia"/>
          <w:sz w:val="18"/>
          <w:szCs w:val="18"/>
        </w:rPr>
        <w:t xml:space="preserve">  在建工程的减值测试方法和减值准备计提方法详见30.长期资产减值。 </w:t>
      </w:r>
    </w:p>
    <w:p w:rsidR="00037019" w:rsidRDefault="00BE788E">
      <w:pPr>
        <w:pStyle w:val="3"/>
        <w:spacing w:line="280" w:lineRule="exact"/>
        <w:jc w:val="left"/>
        <w:rPr>
          <w:rFonts w:ascii="宋体" w:hAnsi="宋体" w:cs="宋体"/>
          <w:b/>
          <w:bCs/>
        </w:rPr>
      </w:pPr>
      <w:bookmarkStart w:id="145" w:name="_Toc989034"/>
      <w:r>
        <w:rPr>
          <w:rFonts w:ascii="宋体" w:hAnsi="宋体" w:cs="宋体"/>
          <w:b/>
          <w:bCs/>
        </w:rPr>
        <w:t>26、借款费用</w:t>
      </w:r>
      <w:bookmarkEnd w:id="145"/>
    </w:p>
    <w:p w:rsidR="00BE788E" w:rsidRDefault="00BE788E" w:rsidP="00F34484">
      <w:pPr>
        <w:widowControl/>
        <w:numPr>
          <w:ilvl w:val="0"/>
          <w:numId w:val="64"/>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借款费用资本化的确认原则</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符合资本化条件的资产，是指需要经过相当长时间的购建或者生产活动才能达到预定可使用或者可销售状态的固定资产、投资性房地产和存货等资产。</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借款费用同时满足下列条件时开始资本化：</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w:t>
      </w:r>
      <w:r w:rsidRPr="00B362E5">
        <w:rPr>
          <w:sz w:val="18"/>
          <w:szCs w:val="18"/>
        </w:rPr>
        <w:t>1</w:t>
      </w:r>
      <w:r>
        <w:rPr>
          <w:rFonts w:hint="eastAsia"/>
          <w:sz w:val="18"/>
          <w:szCs w:val="18"/>
        </w:rPr>
        <w:t>）资产支出已经发生，资产支出包括为购建或者生产符合资本化条件的资产而以支付现金、</w:t>
      </w:r>
      <w:proofErr w:type="gramStart"/>
      <w:r>
        <w:rPr>
          <w:rFonts w:hint="eastAsia"/>
          <w:sz w:val="18"/>
          <w:szCs w:val="18"/>
        </w:rPr>
        <w:t>转移非</w:t>
      </w:r>
      <w:proofErr w:type="gramEnd"/>
      <w:r>
        <w:rPr>
          <w:rFonts w:hint="eastAsia"/>
          <w:sz w:val="18"/>
          <w:szCs w:val="18"/>
        </w:rPr>
        <w:t>现金资产或者承担带息债务形式发生的支出；</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w:t>
      </w:r>
      <w:r w:rsidRPr="00B362E5">
        <w:rPr>
          <w:sz w:val="18"/>
          <w:szCs w:val="18"/>
        </w:rPr>
        <w:t>2</w:t>
      </w:r>
      <w:r>
        <w:rPr>
          <w:rFonts w:hint="eastAsia"/>
          <w:sz w:val="18"/>
          <w:szCs w:val="18"/>
        </w:rPr>
        <w:t>）借款费用已经发生；</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w:t>
      </w:r>
      <w:r w:rsidRPr="00B362E5">
        <w:rPr>
          <w:sz w:val="18"/>
          <w:szCs w:val="18"/>
        </w:rPr>
        <w:t>3</w:t>
      </w:r>
      <w:r>
        <w:rPr>
          <w:rFonts w:hint="eastAsia"/>
          <w:sz w:val="18"/>
          <w:szCs w:val="18"/>
        </w:rPr>
        <w:t>）为使资产达到预定可使用或者可销售状态所必要的购建或者生产活动已经开始。</w:t>
      </w:r>
    </w:p>
    <w:p w:rsidR="00BE788E" w:rsidRDefault="00BE788E" w:rsidP="00F34484">
      <w:pPr>
        <w:widowControl/>
        <w:numPr>
          <w:ilvl w:val="0"/>
          <w:numId w:val="65"/>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借款费用资本化期间</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资本化期间，指从借款费用开始资本化时点到停止资本化时点的期间，借款费用暂停资本化的期间不包括在内。</w:t>
      </w:r>
    </w:p>
    <w:p w:rsidR="00BE788E" w:rsidRPr="00B362E5" w:rsidRDefault="00BE788E" w:rsidP="00B362E5">
      <w:pPr>
        <w:pStyle w:val="a3"/>
        <w:spacing w:before="0" w:beforeAutospacing="0" w:after="0" w:afterAutospacing="0"/>
        <w:ind w:firstLine="420"/>
        <w:jc w:val="both"/>
        <w:divId w:val="1397586594"/>
        <w:rPr>
          <w:sz w:val="18"/>
          <w:szCs w:val="18"/>
        </w:rPr>
      </w:pPr>
      <w:proofErr w:type="gramStart"/>
      <w:r>
        <w:rPr>
          <w:rFonts w:hint="eastAsia"/>
          <w:sz w:val="18"/>
          <w:szCs w:val="18"/>
        </w:rPr>
        <w:t>当购建</w:t>
      </w:r>
      <w:proofErr w:type="gramEnd"/>
      <w:r>
        <w:rPr>
          <w:rFonts w:hint="eastAsia"/>
          <w:sz w:val="18"/>
          <w:szCs w:val="18"/>
        </w:rPr>
        <w:t>或者生产符合资本化条件的资产达到预定可使用或者可销售状态时，借款费用停止资本化。</w:t>
      </w:r>
    </w:p>
    <w:p w:rsidR="00BE788E" w:rsidRPr="00B362E5" w:rsidRDefault="00BE788E" w:rsidP="00B362E5">
      <w:pPr>
        <w:pStyle w:val="a3"/>
        <w:spacing w:before="0" w:beforeAutospacing="0" w:after="0" w:afterAutospacing="0"/>
        <w:ind w:firstLine="420"/>
        <w:jc w:val="both"/>
        <w:divId w:val="1397586594"/>
        <w:rPr>
          <w:sz w:val="18"/>
          <w:szCs w:val="18"/>
        </w:rPr>
      </w:pPr>
      <w:proofErr w:type="gramStart"/>
      <w:r>
        <w:rPr>
          <w:rFonts w:hint="eastAsia"/>
          <w:sz w:val="18"/>
          <w:szCs w:val="18"/>
        </w:rPr>
        <w:t>当购建</w:t>
      </w:r>
      <w:proofErr w:type="gramEnd"/>
      <w:r>
        <w:rPr>
          <w:rFonts w:hint="eastAsia"/>
          <w:sz w:val="18"/>
          <w:szCs w:val="18"/>
        </w:rPr>
        <w:t>或者生产符合资本化条件的资产中部分项目分别完工且可单独使用时，该部分资产借款费用停止资本化。</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购建或者生产的资产的各部分分别完工，但必须等到整体完工后才可使用或可对外销售的，在该资产整体完工时停止借款费用资本化。</w:t>
      </w:r>
    </w:p>
    <w:p w:rsidR="00BE788E" w:rsidRDefault="00BE788E" w:rsidP="00F34484">
      <w:pPr>
        <w:widowControl/>
        <w:numPr>
          <w:ilvl w:val="0"/>
          <w:numId w:val="66"/>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暂停资本化期间</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符合资本化条件的资产在购建或生产过程中发生的非正常中断、且中断时间连续超过</w:t>
      </w:r>
      <w:r w:rsidRPr="00B362E5">
        <w:rPr>
          <w:sz w:val="18"/>
          <w:szCs w:val="18"/>
        </w:rPr>
        <w:t>3</w:t>
      </w:r>
      <w:r>
        <w:rPr>
          <w:rFonts w:hint="eastAsia"/>
          <w:sz w:val="18"/>
          <w:szCs w:val="18"/>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BE788E" w:rsidRDefault="00BE788E" w:rsidP="00F34484">
      <w:pPr>
        <w:widowControl/>
        <w:numPr>
          <w:ilvl w:val="0"/>
          <w:numId w:val="67"/>
        </w:numPr>
        <w:spacing w:before="100" w:beforeAutospacing="1" w:after="100" w:afterAutospacing="1"/>
        <w:divId w:val="13975865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w:t>
      </w:r>
      <w:proofErr w:type="gramStart"/>
      <w:r>
        <w:rPr>
          <w:rFonts w:hint="eastAsia"/>
          <w:sz w:val="18"/>
          <w:szCs w:val="18"/>
        </w:rPr>
        <w:t>化金额</w:t>
      </w:r>
      <w:proofErr w:type="gramEnd"/>
      <w:r>
        <w:rPr>
          <w:rFonts w:hint="eastAsia"/>
          <w:sz w:val="18"/>
          <w:szCs w:val="18"/>
        </w:rPr>
        <w:t>的计算方法</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BE788E" w:rsidRPr="00B362E5" w:rsidRDefault="00BE788E" w:rsidP="00B362E5">
      <w:pPr>
        <w:pStyle w:val="a3"/>
        <w:spacing w:before="0" w:beforeAutospacing="0" w:after="0" w:afterAutospacing="0"/>
        <w:ind w:firstLine="420"/>
        <w:jc w:val="both"/>
        <w:divId w:val="1397586594"/>
        <w:rPr>
          <w:sz w:val="18"/>
          <w:szCs w:val="18"/>
        </w:rPr>
      </w:pPr>
      <w:r>
        <w:rPr>
          <w:rFonts w:hint="eastAsia"/>
          <w:sz w:val="18"/>
          <w:szCs w:val="18"/>
        </w:rPr>
        <w:t xml:space="preserve">借款存在折价或者溢价的，按照实际利率法确定每一会计期间应摊销的折价或者溢价金额，调整每期利息金额。 </w:t>
      </w:r>
    </w:p>
    <w:p w:rsidR="00037019" w:rsidRDefault="00BE788E">
      <w:pPr>
        <w:pStyle w:val="3"/>
        <w:spacing w:line="280" w:lineRule="exact"/>
        <w:jc w:val="left"/>
        <w:rPr>
          <w:rFonts w:ascii="宋体" w:hAnsi="宋体" w:cs="宋体"/>
          <w:b/>
          <w:bCs/>
        </w:rPr>
      </w:pPr>
      <w:bookmarkStart w:id="146" w:name="_Toc989035"/>
      <w:r>
        <w:rPr>
          <w:rFonts w:ascii="宋体" w:hAnsi="宋体" w:cs="宋体"/>
          <w:b/>
          <w:bCs/>
        </w:rPr>
        <w:lastRenderedPageBreak/>
        <w:t>27、生物资产</w:t>
      </w:r>
      <w:bookmarkEnd w:id="146"/>
    </w:p>
    <w:p w:rsidR="00BE788E" w:rsidRDefault="00BE788E" w:rsidP="00B362E5">
      <w:pPr>
        <w:pStyle w:val="a3"/>
        <w:spacing w:before="0" w:beforeAutospacing="0" w:after="0" w:afterAutospacing="0"/>
        <w:ind w:firstLine="420"/>
        <w:jc w:val="both"/>
        <w:divId w:val="123038669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47" w:name="_Toc989036"/>
      <w:r>
        <w:rPr>
          <w:rFonts w:ascii="宋体" w:hAnsi="宋体" w:cs="宋体"/>
          <w:b/>
          <w:bCs/>
        </w:rPr>
        <w:t>28、油气资产</w:t>
      </w:r>
      <w:bookmarkEnd w:id="147"/>
    </w:p>
    <w:p w:rsidR="00BE788E" w:rsidRDefault="00BE788E" w:rsidP="00B362E5">
      <w:pPr>
        <w:pStyle w:val="a3"/>
        <w:spacing w:before="0" w:beforeAutospacing="0" w:after="0" w:afterAutospacing="0"/>
        <w:ind w:firstLine="420"/>
        <w:jc w:val="both"/>
        <w:divId w:val="181498311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48" w:name="_Toc989037"/>
      <w:r>
        <w:rPr>
          <w:rFonts w:ascii="宋体" w:hAnsi="宋体" w:cs="宋体"/>
          <w:b/>
          <w:bCs/>
        </w:rPr>
        <w:t>29、无形资产</w:t>
      </w:r>
      <w:bookmarkEnd w:id="148"/>
    </w:p>
    <w:p w:rsidR="00037019" w:rsidRDefault="00BE788E">
      <w:pPr>
        <w:keepNext/>
        <w:keepLines/>
        <w:spacing w:before="300" w:after="300" w:line="280" w:lineRule="exact"/>
        <w:outlineLvl w:val="3"/>
        <w:rPr>
          <w:rFonts w:ascii="宋体" w:eastAsia="宋体" w:hAnsi="宋体" w:cs="宋体"/>
          <w:b/>
          <w:bCs/>
          <w:szCs w:val="21"/>
        </w:rPr>
      </w:pPr>
      <w:bookmarkStart w:id="149" w:name="_Toc989038"/>
      <w:r>
        <w:rPr>
          <w:rFonts w:ascii="宋体" w:eastAsia="宋体" w:hAnsi="宋体" w:cs="宋体"/>
          <w:b/>
          <w:bCs/>
          <w:szCs w:val="21"/>
        </w:rPr>
        <w:t>（1） 使用寿命及其确定依据、估计情况、摊销方法或复核程序</w:t>
      </w:r>
      <w:bookmarkEnd w:id="149"/>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无形资产是指本公司拥有或者控制的没有实物形态的可</w:t>
      </w:r>
      <w:proofErr w:type="gramStart"/>
      <w:r>
        <w:rPr>
          <w:rFonts w:hint="eastAsia"/>
          <w:sz w:val="18"/>
          <w:szCs w:val="18"/>
        </w:rPr>
        <w:t>辨认非</w:t>
      </w:r>
      <w:proofErr w:type="gramEnd"/>
      <w:r>
        <w:rPr>
          <w:rFonts w:hint="eastAsia"/>
          <w:sz w:val="18"/>
          <w:szCs w:val="18"/>
        </w:rPr>
        <w:t>货币性资产，包括土地使用权、软件、专利权及非专利技术等。</w:t>
      </w:r>
    </w:p>
    <w:p w:rsidR="00BE788E" w:rsidRDefault="00BE788E" w:rsidP="00F34484">
      <w:pPr>
        <w:widowControl/>
        <w:numPr>
          <w:ilvl w:val="3"/>
          <w:numId w:val="68"/>
        </w:numPr>
        <w:tabs>
          <w:tab w:val="clear" w:pos="2880"/>
          <w:tab w:val="num" w:pos="426"/>
        </w:tabs>
        <w:spacing w:before="100" w:beforeAutospacing="1" w:after="100" w:afterAutospacing="1"/>
        <w:ind w:left="0" w:firstLine="426"/>
        <w:divId w:val="23069622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无形资产的初始计量</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以同</w:t>
      </w:r>
      <w:proofErr w:type="gramStart"/>
      <w:r>
        <w:rPr>
          <w:rFonts w:hint="eastAsia"/>
          <w:sz w:val="18"/>
          <w:szCs w:val="18"/>
        </w:rPr>
        <w:t>一控制</w:t>
      </w:r>
      <w:proofErr w:type="gramEnd"/>
      <w:r>
        <w:rPr>
          <w:rFonts w:hint="eastAsia"/>
          <w:sz w:val="18"/>
          <w:szCs w:val="18"/>
        </w:rPr>
        <w:t>下的企业吸收合并方式取得的无形资产按被合并方的账面价值确定其入账价值；以非同</w:t>
      </w:r>
      <w:proofErr w:type="gramStart"/>
      <w:r>
        <w:rPr>
          <w:rFonts w:hint="eastAsia"/>
          <w:sz w:val="18"/>
          <w:szCs w:val="18"/>
        </w:rPr>
        <w:t>一控制</w:t>
      </w:r>
      <w:proofErr w:type="gramEnd"/>
      <w:r>
        <w:rPr>
          <w:rFonts w:hint="eastAsia"/>
          <w:sz w:val="18"/>
          <w:szCs w:val="18"/>
        </w:rPr>
        <w:t>下的企业吸收合并方式取得的无形资产按公允价值确定其入账价值。</w:t>
      </w:r>
    </w:p>
    <w:p w:rsidR="00BE788E" w:rsidRPr="00B362E5" w:rsidRDefault="00BE788E" w:rsidP="00B362E5">
      <w:pPr>
        <w:pStyle w:val="a3"/>
        <w:spacing w:before="0" w:beforeAutospacing="0" w:after="0" w:afterAutospacing="0"/>
        <w:ind w:firstLine="420"/>
        <w:jc w:val="both"/>
        <w:divId w:val="230696224"/>
        <w:rPr>
          <w:sz w:val="18"/>
          <w:szCs w:val="18"/>
        </w:rPr>
      </w:pPr>
      <w:r>
        <w:rPr>
          <w:rFonts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BE788E" w:rsidRDefault="00BE788E" w:rsidP="00F34484">
      <w:pPr>
        <w:widowControl/>
        <w:numPr>
          <w:ilvl w:val="3"/>
          <w:numId w:val="69"/>
        </w:numPr>
        <w:tabs>
          <w:tab w:val="clear" w:pos="2880"/>
          <w:tab w:val="num" w:pos="426"/>
        </w:tabs>
        <w:spacing w:before="100" w:beforeAutospacing="1" w:after="100" w:afterAutospacing="1"/>
        <w:ind w:left="0" w:firstLine="426"/>
        <w:divId w:val="23069622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无形资产的后续计量</w:t>
      </w:r>
    </w:p>
    <w:p w:rsidR="00BE788E" w:rsidRPr="00B362E5" w:rsidRDefault="00BE788E">
      <w:pPr>
        <w:pStyle w:val="a3"/>
        <w:spacing w:before="0" w:beforeAutospacing="0" w:after="0" w:afterAutospacing="0" w:line="360" w:lineRule="auto"/>
        <w:ind w:firstLine="420"/>
        <w:jc w:val="both"/>
        <w:divId w:val="230696224"/>
        <w:rPr>
          <w:sz w:val="18"/>
          <w:szCs w:val="18"/>
        </w:rPr>
      </w:pPr>
      <w:r>
        <w:rPr>
          <w:rFonts w:hint="eastAsia"/>
          <w:sz w:val="18"/>
          <w:szCs w:val="18"/>
        </w:rPr>
        <w:t>本公司在取得无形资产时分析判断其使用寿命，划分为使用寿命有限和使用寿命不确定的无形资产。</w:t>
      </w:r>
    </w:p>
    <w:p w:rsidR="00BE788E" w:rsidRDefault="00BE788E" w:rsidP="00F34484">
      <w:pPr>
        <w:widowControl/>
        <w:numPr>
          <w:ilvl w:val="0"/>
          <w:numId w:val="70"/>
        </w:numPr>
        <w:divId w:val="230696224"/>
        <w:rPr>
          <w:rFonts w:ascii="Calibri" w:hAnsi="Calibri" w:cs="Calibri"/>
          <w:szCs w:val="21"/>
        </w:rPr>
      </w:pPr>
      <w:r>
        <w:rPr>
          <w:rFonts w:cs="Calibri" w:hint="eastAsia"/>
          <w:sz w:val="18"/>
          <w:szCs w:val="18"/>
        </w:rPr>
        <w:t>使用寿命有限的无形资产</w:t>
      </w:r>
    </w:p>
    <w:p w:rsidR="00BE788E" w:rsidRPr="00B362E5" w:rsidRDefault="00BE788E">
      <w:pPr>
        <w:pStyle w:val="a3"/>
        <w:spacing w:before="0" w:beforeAutospacing="0" w:after="0" w:afterAutospacing="0" w:line="360" w:lineRule="auto"/>
        <w:ind w:firstLine="420"/>
        <w:jc w:val="both"/>
        <w:divId w:val="230696224"/>
        <w:rPr>
          <w:sz w:val="18"/>
          <w:szCs w:val="18"/>
        </w:rPr>
      </w:pPr>
      <w:r>
        <w:rPr>
          <w:rFonts w:hint="eastAsia"/>
          <w:sz w:val="18"/>
          <w:szCs w:val="18"/>
        </w:rPr>
        <w:t>对于使用寿命有限的无形资产，在为企业带来经济利益的期限内按直线法摊销。使用寿命有限的无形资产预计寿命及依据如下：</w:t>
      </w:r>
    </w:p>
    <w:tbl>
      <w:tblPr>
        <w:tblW w:w="9366" w:type="dxa"/>
        <w:tblCellMar>
          <w:left w:w="0" w:type="dxa"/>
          <w:right w:w="0" w:type="dxa"/>
        </w:tblCellMar>
        <w:tblLook w:val="04A0" w:firstRow="1" w:lastRow="0" w:firstColumn="1" w:lastColumn="0" w:noHBand="0" w:noVBand="1"/>
        <w:tblCaption w:val="D:\大华\华孚\2023年度\TB|0-合并TB-华孚时尚股份有限公司-2023年度.xlsx|W附注模板|_jds14|0|desc|||0|1"/>
      </w:tblPr>
      <w:tblGrid>
        <w:gridCol w:w="1703"/>
        <w:gridCol w:w="3831"/>
        <w:gridCol w:w="3832"/>
      </w:tblGrid>
      <w:tr w:rsidR="00BE788E" w:rsidRPr="00B362E5" w:rsidTr="00B362E5">
        <w:trPr>
          <w:divId w:val="230696224"/>
          <w:trHeight w:val="344"/>
          <w:tblHeader/>
        </w:trPr>
        <w:tc>
          <w:tcPr>
            <w:tcW w:w="1703" w:type="dxa"/>
            <w:tcBorders>
              <w:top w:val="single" w:sz="8" w:space="0" w:color="auto"/>
              <w:left w:val="single" w:sz="8" w:space="0" w:color="auto"/>
              <w:bottom w:val="single" w:sz="8" w:space="0" w:color="auto"/>
              <w:right w:val="single" w:sz="8" w:space="0" w:color="auto"/>
            </w:tcBorders>
            <w:shd w:val="clear" w:color="auto" w:fill="D3D3D3"/>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项目</w:t>
            </w:r>
          </w:p>
        </w:tc>
        <w:tc>
          <w:tcPr>
            <w:tcW w:w="3831" w:type="dxa"/>
            <w:tcBorders>
              <w:top w:val="single" w:sz="8" w:space="0" w:color="auto"/>
              <w:left w:val="nil"/>
              <w:bottom w:val="single" w:sz="8" w:space="0" w:color="auto"/>
              <w:right w:val="single" w:sz="8" w:space="0" w:color="auto"/>
            </w:tcBorders>
            <w:shd w:val="clear" w:color="auto" w:fill="D3D3D3"/>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预计使用寿命</w:t>
            </w:r>
          </w:p>
        </w:tc>
        <w:tc>
          <w:tcPr>
            <w:tcW w:w="3832" w:type="dxa"/>
            <w:tcBorders>
              <w:top w:val="single" w:sz="8" w:space="0" w:color="auto"/>
              <w:left w:val="nil"/>
              <w:bottom w:val="single" w:sz="8" w:space="0" w:color="auto"/>
              <w:right w:val="single" w:sz="8" w:space="0" w:color="auto"/>
            </w:tcBorders>
            <w:shd w:val="clear" w:color="auto" w:fill="D3D3D3"/>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依据</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软件</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sz w:val="18"/>
                <w:szCs w:val="18"/>
              </w:rPr>
              <w:t>5-10</w:t>
            </w:r>
            <w:r w:rsidRPr="00B362E5">
              <w:rPr>
                <w:rFonts w:asciiTheme="minorEastAsia" w:eastAsiaTheme="minorEastAsia" w:hAnsiTheme="minorEastAsia"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软件预计使用年限</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土地使用权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sz w:val="18"/>
                <w:szCs w:val="18"/>
              </w:rPr>
              <w:t>40-50</w:t>
            </w:r>
            <w:r w:rsidRPr="00B362E5">
              <w:rPr>
                <w:rFonts w:asciiTheme="minorEastAsia" w:eastAsiaTheme="minorEastAsia" w:hAnsiTheme="minorEastAsia"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土地使用权证规定年限</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专利权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授权使用期限</w:t>
            </w:r>
          </w:p>
        </w:tc>
      </w:tr>
      <w:tr w:rsidR="00BE788E" w:rsidRPr="00B362E5">
        <w:trPr>
          <w:divId w:val="23069622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商标使用权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BE788E" w:rsidRPr="00B362E5" w:rsidRDefault="00BE788E">
            <w:pPr>
              <w:pStyle w:val="a3"/>
              <w:spacing w:before="0" w:beforeAutospacing="0" w:after="0" w:afterAutospacing="0"/>
              <w:jc w:val="center"/>
              <w:rPr>
                <w:rFonts w:asciiTheme="minorEastAsia" w:eastAsiaTheme="minorEastAsia" w:hAnsiTheme="minorEastAsia"/>
              </w:rPr>
            </w:pPr>
            <w:r w:rsidRPr="00B362E5">
              <w:rPr>
                <w:rFonts w:asciiTheme="minorEastAsia" w:eastAsiaTheme="minorEastAsia" w:hAnsiTheme="minorEastAsia" w:hint="eastAsia"/>
                <w:sz w:val="18"/>
                <w:szCs w:val="18"/>
              </w:rPr>
              <w:t>授权使用期限</w:t>
            </w:r>
          </w:p>
        </w:tc>
      </w:tr>
    </w:tbl>
    <w:p w:rsidR="00BE788E" w:rsidRPr="00BC1A62" w:rsidRDefault="00BE788E">
      <w:pPr>
        <w:pStyle w:val="a3"/>
        <w:spacing w:before="0" w:beforeAutospacing="0" w:after="0" w:afterAutospacing="0" w:line="360" w:lineRule="auto"/>
        <w:ind w:firstLine="420"/>
        <w:jc w:val="both"/>
        <w:divId w:val="230696224"/>
        <w:rPr>
          <w:sz w:val="18"/>
          <w:szCs w:val="18"/>
        </w:rPr>
      </w:pPr>
      <w:r>
        <w:rPr>
          <w:rFonts w:hint="eastAsia"/>
          <w:sz w:val="18"/>
          <w:szCs w:val="18"/>
        </w:rPr>
        <w:t>期末，对使用寿命有限的无形资产的使用寿命和摊销方法进行复核，必要时进行调整。</w:t>
      </w:r>
    </w:p>
    <w:p w:rsidR="00BE788E" w:rsidRDefault="00BE788E" w:rsidP="00F34484">
      <w:pPr>
        <w:widowControl/>
        <w:numPr>
          <w:ilvl w:val="0"/>
          <w:numId w:val="71"/>
        </w:numPr>
        <w:divId w:val="230696224"/>
        <w:rPr>
          <w:rFonts w:ascii="Calibri" w:hAnsi="Calibri" w:cs="Calibri"/>
          <w:szCs w:val="21"/>
        </w:rPr>
      </w:pPr>
      <w:r>
        <w:rPr>
          <w:rFonts w:cs="Calibri" w:hint="eastAsia"/>
          <w:sz w:val="18"/>
          <w:szCs w:val="18"/>
        </w:rPr>
        <w:lastRenderedPageBreak/>
        <w:t>使用寿命不确定的无形资产</w:t>
      </w:r>
    </w:p>
    <w:p w:rsidR="00BE788E" w:rsidRPr="00BC1A62" w:rsidRDefault="00BE788E">
      <w:pPr>
        <w:pStyle w:val="a3"/>
        <w:spacing w:before="50" w:beforeAutospacing="0" w:after="0" w:afterAutospacing="0" w:line="360" w:lineRule="auto"/>
        <w:ind w:firstLine="420"/>
        <w:divId w:val="230696224"/>
        <w:rPr>
          <w:sz w:val="18"/>
          <w:szCs w:val="18"/>
        </w:rPr>
      </w:pPr>
      <w:r>
        <w:rPr>
          <w:rFonts w:hint="eastAsia"/>
          <w:sz w:val="18"/>
          <w:szCs w:val="18"/>
        </w:rPr>
        <w:t>本公司无使用寿命不确定的无形资产。</w:t>
      </w:r>
    </w:p>
    <w:p w:rsidR="00BE788E" w:rsidRPr="00BC1A62" w:rsidRDefault="00BE788E">
      <w:pPr>
        <w:pStyle w:val="a3"/>
        <w:spacing w:before="0" w:beforeAutospacing="0" w:after="0" w:afterAutospacing="0" w:line="360" w:lineRule="auto"/>
        <w:ind w:firstLine="420"/>
        <w:divId w:val="230696224"/>
        <w:rPr>
          <w:sz w:val="18"/>
          <w:szCs w:val="18"/>
        </w:rPr>
      </w:pPr>
      <w:r>
        <w:rPr>
          <w:rFonts w:hint="eastAsia"/>
          <w:sz w:val="18"/>
          <w:szCs w:val="18"/>
        </w:rPr>
        <w:t>无形资产的减值测试方法和减值准备计提方法详见30.长期资产减值。</w:t>
      </w:r>
    </w:p>
    <w:p w:rsidR="00037019" w:rsidRDefault="00BE788E">
      <w:pPr>
        <w:keepNext/>
        <w:keepLines/>
        <w:spacing w:before="300" w:after="300" w:line="280" w:lineRule="exact"/>
        <w:outlineLvl w:val="3"/>
        <w:rPr>
          <w:rFonts w:ascii="宋体" w:eastAsia="宋体" w:hAnsi="宋体" w:cs="宋体"/>
          <w:b/>
          <w:bCs/>
          <w:szCs w:val="21"/>
        </w:rPr>
      </w:pPr>
      <w:bookmarkStart w:id="150" w:name="_Toc989039"/>
      <w:r>
        <w:rPr>
          <w:rFonts w:ascii="宋体" w:eastAsia="宋体" w:hAnsi="宋体" w:cs="宋体"/>
          <w:b/>
          <w:bCs/>
          <w:szCs w:val="21"/>
        </w:rPr>
        <w:t>（2） 研发支出的归集范围及相关会计处理方法</w:t>
      </w:r>
      <w:bookmarkEnd w:id="150"/>
    </w:p>
    <w:p w:rsidR="00BE788E" w:rsidRDefault="00BE788E" w:rsidP="00F34484">
      <w:pPr>
        <w:widowControl/>
        <w:numPr>
          <w:ilvl w:val="3"/>
          <w:numId w:val="72"/>
        </w:numPr>
        <w:tabs>
          <w:tab w:val="clear" w:pos="2880"/>
          <w:tab w:val="num" w:pos="426"/>
        </w:tabs>
        <w:spacing w:before="100" w:beforeAutospacing="1" w:after="100" w:afterAutospacing="1"/>
        <w:ind w:left="0" w:firstLine="426"/>
        <w:divId w:val="13669051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划分公司内部研究开发项目的研究阶段和开发阶段具体标准</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研究阶段：为获取并理解新的科学或技术知识等而进行的独创性的有计划调查、研究活动的阶段。</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开发阶段：在进行商业性生产或使用前，将研究成果或其他知识应用于某项计划或设计，以生产出新的或具有实质性改进的材料、装置、产品等活动的阶段。</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内部研究开发项目研究阶段的支出，在发生时计入当期损益。</w:t>
      </w:r>
    </w:p>
    <w:p w:rsidR="00BE788E" w:rsidRDefault="00BE788E" w:rsidP="00F34484">
      <w:pPr>
        <w:widowControl/>
        <w:numPr>
          <w:ilvl w:val="3"/>
          <w:numId w:val="73"/>
        </w:numPr>
        <w:tabs>
          <w:tab w:val="clear" w:pos="2880"/>
          <w:tab w:val="num" w:pos="426"/>
        </w:tabs>
        <w:spacing w:before="100" w:beforeAutospacing="1" w:after="100" w:afterAutospacing="1"/>
        <w:ind w:left="0" w:firstLine="426"/>
        <w:divId w:val="136690510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开发阶段支出符合资本化的具体标准</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内部研究开发项目开发阶段的支出，同时满足下列条件时确认为无形资产：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1</w:t>
      </w:r>
      <w:r>
        <w:rPr>
          <w:rFonts w:hint="eastAsia"/>
          <w:sz w:val="18"/>
          <w:szCs w:val="18"/>
        </w:rPr>
        <w:t>）完成该无形资产以使其能够使用或出售在技术上具有可行性；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2</w:t>
      </w:r>
      <w:r>
        <w:rPr>
          <w:rFonts w:hint="eastAsia"/>
          <w:sz w:val="18"/>
          <w:szCs w:val="18"/>
        </w:rPr>
        <w:t>）具有完成该无形资产并使用或出售的意图；</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3</w:t>
      </w:r>
      <w:r>
        <w:rPr>
          <w:rFonts w:hint="eastAsia"/>
          <w:sz w:val="18"/>
          <w:szCs w:val="18"/>
        </w:rPr>
        <w:t>）无形资产产生经济利益的方式，包括能够证明运用该无形资产生产的产品存在市场或无形资产自身存在市场，无形资产将在内部使用的，能够证明其有用性；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4</w:t>
      </w:r>
      <w:r>
        <w:rPr>
          <w:rFonts w:hint="eastAsia"/>
          <w:sz w:val="18"/>
          <w:szCs w:val="18"/>
        </w:rPr>
        <w:t>）有足够的技术、财务资源和其他资源支持，以完成该无形资产的开发，并有能力使用或出售该无形资产；</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w:t>
      </w:r>
      <w:r w:rsidRPr="004E7FBF">
        <w:rPr>
          <w:sz w:val="18"/>
          <w:szCs w:val="18"/>
        </w:rPr>
        <w:t>5</w:t>
      </w:r>
      <w:r>
        <w:rPr>
          <w:rFonts w:hint="eastAsia"/>
          <w:sz w:val="18"/>
          <w:szCs w:val="18"/>
        </w:rPr>
        <w:t>）归属于该无形资产开发阶段的支出能够可靠地计量。</w:t>
      </w:r>
    </w:p>
    <w:p w:rsidR="00BE788E" w:rsidRPr="004E7FBF" w:rsidRDefault="00BE788E" w:rsidP="004E7FBF">
      <w:pPr>
        <w:pStyle w:val="a3"/>
        <w:spacing w:before="0" w:beforeAutospacing="0" w:after="0" w:afterAutospacing="0"/>
        <w:ind w:firstLine="420"/>
        <w:jc w:val="both"/>
        <w:divId w:val="1366905104"/>
        <w:rPr>
          <w:sz w:val="18"/>
          <w:szCs w:val="18"/>
        </w:rPr>
      </w:pPr>
      <w:r>
        <w:rPr>
          <w:rFonts w:hint="eastAsia"/>
          <w:sz w:val="18"/>
          <w:szCs w:val="18"/>
        </w:rPr>
        <w:t>不满足上述条件的开发阶段的支出，于发生时计入当期损益。无法区分研究阶段支出和开发阶段支出的，将发生的研发支出全部计入当期损益。内部开发活动形成的无形资产的成本仅包括满足资本化条件的时点至无形资产达到预定用途前发生的支出总额，对于同一项无形资产在开发过程中达到资本化条件之前已经费用化计入损益的支出不再进行调整。</w:t>
      </w:r>
    </w:p>
    <w:p w:rsidR="00037019" w:rsidRDefault="00BE788E">
      <w:pPr>
        <w:pStyle w:val="3"/>
        <w:spacing w:line="280" w:lineRule="exact"/>
        <w:jc w:val="left"/>
        <w:rPr>
          <w:rFonts w:ascii="宋体" w:hAnsi="宋体" w:cs="宋体"/>
          <w:b/>
          <w:bCs/>
        </w:rPr>
      </w:pPr>
      <w:bookmarkStart w:id="151" w:name="_Toc989040"/>
      <w:r>
        <w:rPr>
          <w:rFonts w:ascii="宋体" w:hAnsi="宋体" w:cs="宋体"/>
          <w:b/>
          <w:bCs/>
        </w:rPr>
        <w:t>30、长期资产减值</w:t>
      </w:r>
      <w:bookmarkEnd w:id="151"/>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本公司在每一个资产负债表日</w:t>
      </w:r>
      <w:proofErr w:type="gramStart"/>
      <w:r>
        <w:rPr>
          <w:rFonts w:hint="eastAsia"/>
          <w:sz w:val="18"/>
          <w:szCs w:val="18"/>
        </w:rPr>
        <w:t>检查长</w:t>
      </w:r>
      <w:proofErr w:type="gramEnd"/>
      <w:r>
        <w:rPr>
          <w:rFonts w:hint="eastAsia"/>
          <w:sz w:val="18"/>
          <w:szCs w:val="18"/>
        </w:rPr>
        <w:t>期股权投资、采用成本法计量的投资性房地产、固定资产、在建工程、使用寿命确定的无形资产是否存在可能发生减值的迹象。如果长期资产存在减值迹象，则以单项资产为基础估计其可收回金额；难以对单项资产的可收回金额进行估计的，以该资产所属的资产组为基础确定资产组的可收回金额。</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资产可收回金额的估计，根据其公允价值减去处置费用后的净额与资产预计未来现金流量的现值两者之间较高者确定。</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可收回金额的计量结果表明，长期资产的可收回金额低于其账面价值的，将长期资产的账面价值</w:t>
      </w:r>
      <w:proofErr w:type="gramStart"/>
      <w:r>
        <w:rPr>
          <w:rFonts w:hint="eastAsia"/>
          <w:sz w:val="18"/>
          <w:szCs w:val="18"/>
        </w:rPr>
        <w:t>减记至</w:t>
      </w:r>
      <w:proofErr w:type="gramEnd"/>
      <w:r>
        <w:rPr>
          <w:rFonts w:hint="eastAsia"/>
          <w:sz w:val="18"/>
          <w:szCs w:val="18"/>
        </w:rPr>
        <w:t>可收回金额，</w:t>
      </w:r>
      <w:proofErr w:type="gramStart"/>
      <w:r>
        <w:rPr>
          <w:rFonts w:hint="eastAsia"/>
          <w:sz w:val="18"/>
          <w:szCs w:val="18"/>
        </w:rPr>
        <w:t>减记的</w:t>
      </w:r>
      <w:proofErr w:type="gramEnd"/>
      <w:r>
        <w:rPr>
          <w:rFonts w:hint="eastAsia"/>
          <w:sz w:val="18"/>
          <w:szCs w:val="18"/>
        </w:rPr>
        <w:t>金额确认为资产减值损失，计入当期损益，同时计提相应的资产减值准备。资产减值损失一经确认，在以后会计期间不得转回。</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资产减值损失确认后，减值资产的折旧或者摊销费用在未来期间作相应调整，以使该资产在剩余使用寿命内，系统地分摊调整后的资产账面价值（扣除预计净残值）。</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因企业合并所形成的商誉和使用寿命不确定的无形资产，无论是否存在减值迹象，每年都进行减值测试。</w:t>
      </w:r>
    </w:p>
    <w:p w:rsidR="00BE788E" w:rsidRPr="004E7FBF" w:rsidRDefault="00BE788E" w:rsidP="004E7FBF">
      <w:pPr>
        <w:pStyle w:val="a3"/>
        <w:spacing w:before="0" w:beforeAutospacing="0" w:after="0" w:afterAutospacing="0"/>
        <w:ind w:firstLine="420"/>
        <w:jc w:val="both"/>
        <w:divId w:val="1935094580"/>
        <w:rPr>
          <w:sz w:val="18"/>
          <w:szCs w:val="18"/>
        </w:rPr>
      </w:pPr>
      <w:r>
        <w:rPr>
          <w:rFonts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w:t>
      </w:r>
      <w:r>
        <w:rPr>
          <w:rFonts w:hint="eastAsia"/>
          <w:sz w:val="18"/>
          <w:szCs w:val="18"/>
        </w:rPr>
        <w:lastRenderedPageBreak/>
        <w:t>摊的商誉的账面价值部分）</w:t>
      </w:r>
      <w:proofErr w:type="gramStart"/>
      <w:r>
        <w:rPr>
          <w:rFonts w:hint="eastAsia"/>
          <w:sz w:val="18"/>
          <w:szCs w:val="18"/>
        </w:rPr>
        <w:t>与其可</w:t>
      </w:r>
      <w:proofErr w:type="gramEnd"/>
      <w:r>
        <w:rPr>
          <w:rFonts w:hint="eastAsia"/>
          <w:sz w:val="18"/>
          <w:szCs w:val="18"/>
        </w:rPr>
        <w:t xml:space="preserve">收回金额，如相关资产组或者资产组组合的可收回金额低于其账面价值的，确认商誉的减值损失。 </w:t>
      </w:r>
    </w:p>
    <w:p w:rsidR="00037019" w:rsidRDefault="00BE788E">
      <w:pPr>
        <w:pStyle w:val="3"/>
        <w:spacing w:line="280" w:lineRule="exact"/>
        <w:jc w:val="left"/>
        <w:rPr>
          <w:rFonts w:ascii="宋体" w:hAnsi="宋体" w:cs="宋体"/>
          <w:b/>
          <w:bCs/>
        </w:rPr>
      </w:pPr>
      <w:bookmarkStart w:id="152" w:name="_Toc989041"/>
      <w:r>
        <w:rPr>
          <w:rFonts w:ascii="宋体" w:hAnsi="宋体" w:cs="宋体"/>
          <w:b/>
          <w:bCs/>
        </w:rPr>
        <w:t>31、长期待摊费用</w:t>
      </w:r>
      <w:bookmarkEnd w:id="152"/>
    </w:p>
    <w:p w:rsidR="00BE788E" w:rsidRDefault="00BE788E" w:rsidP="00F34484">
      <w:pPr>
        <w:widowControl/>
        <w:numPr>
          <w:ilvl w:val="0"/>
          <w:numId w:val="74"/>
        </w:numPr>
        <w:spacing w:before="100" w:beforeAutospacing="1" w:after="100" w:afterAutospacing="1"/>
        <w:divId w:val="152967840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摊销方法</w:t>
      </w:r>
    </w:p>
    <w:p w:rsidR="00BE788E" w:rsidRPr="004E7FBF" w:rsidRDefault="00BE788E" w:rsidP="004E7FBF">
      <w:pPr>
        <w:pStyle w:val="a3"/>
        <w:spacing w:before="0" w:beforeAutospacing="0" w:after="0" w:afterAutospacing="0"/>
        <w:ind w:firstLine="420"/>
        <w:jc w:val="both"/>
        <w:divId w:val="1529678408"/>
        <w:rPr>
          <w:sz w:val="18"/>
          <w:szCs w:val="18"/>
        </w:rPr>
      </w:pPr>
      <w:r>
        <w:rPr>
          <w:rFonts w:hint="eastAsia"/>
          <w:sz w:val="18"/>
          <w:szCs w:val="18"/>
        </w:rPr>
        <w:t>长期待摊费用，是指本公司已经发生但应由本期和以后各期负担的分摊期限在</w:t>
      </w:r>
      <w:r w:rsidRPr="004E7FBF">
        <w:rPr>
          <w:sz w:val="18"/>
          <w:szCs w:val="18"/>
        </w:rPr>
        <w:t>1</w:t>
      </w:r>
      <w:r>
        <w:rPr>
          <w:rFonts w:hint="eastAsia"/>
          <w:sz w:val="18"/>
          <w:szCs w:val="18"/>
        </w:rPr>
        <w:t>年以上的各项费用。长期待摊费用在受益期内按直线法分期摊销。</w:t>
      </w:r>
    </w:p>
    <w:p w:rsidR="00BE788E" w:rsidRDefault="00BE788E" w:rsidP="00F34484">
      <w:pPr>
        <w:widowControl/>
        <w:numPr>
          <w:ilvl w:val="0"/>
          <w:numId w:val="75"/>
        </w:numPr>
        <w:spacing w:before="100" w:beforeAutospacing="1" w:after="100" w:afterAutospacing="1"/>
        <w:divId w:val="152967840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摊销年限</w:t>
      </w:r>
    </w:p>
    <w:tbl>
      <w:tblPr>
        <w:tblW w:w="9088"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6|0|desc|||0|1"/>
      </w:tblPr>
      <w:tblGrid>
        <w:gridCol w:w="2845"/>
        <w:gridCol w:w="2845"/>
        <w:gridCol w:w="3398"/>
      </w:tblGrid>
      <w:tr w:rsidR="00BE788E">
        <w:trPr>
          <w:divId w:val="1529678408"/>
          <w:trHeight w:val="340"/>
          <w:tblHeader/>
          <w:jc w:val="center"/>
        </w:trPr>
        <w:tc>
          <w:tcPr>
            <w:tcW w:w="28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类别</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摊销年限</w:t>
            </w:r>
          </w:p>
        </w:tc>
        <w:tc>
          <w:tcPr>
            <w:tcW w:w="3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备注</w:t>
            </w:r>
          </w:p>
        </w:tc>
      </w:tr>
      <w:tr w:rsidR="00BE788E">
        <w:trPr>
          <w:divId w:val="1529678408"/>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装修费</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ascii="Times New Roman" w:hAnsi="Times New Roman" w:cs="Times New Roman"/>
                <w:sz w:val="18"/>
                <w:szCs w:val="18"/>
              </w:rPr>
              <w:t>3-5</w:t>
            </w:r>
            <w:r>
              <w:rPr>
                <w:rFonts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jc w:val="center"/>
            </w:pPr>
            <w:r>
              <w:rPr>
                <w:rFonts w:ascii="Times New Roman" w:hAnsi="Times New Roman" w:cs="Times New Roman"/>
                <w:sz w:val="21"/>
                <w:szCs w:val="21"/>
              </w:rPr>
              <w:t> </w:t>
            </w:r>
          </w:p>
        </w:tc>
      </w:tr>
      <w:tr w:rsidR="00BE788E">
        <w:trPr>
          <w:divId w:val="1529678408"/>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机物料</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ascii="Times New Roman" w:hAnsi="Times New Roman" w:cs="Times New Roman"/>
                <w:sz w:val="18"/>
                <w:szCs w:val="18"/>
              </w:rPr>
              <w:t>3-5</w:t>
            </w:r>
            <w:r>
              <w:rPr>
                <w:rFonts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jc w:val="center"/>
            </w:pPr>
            <w:r>
              <w:rPr>
                <w:rFonts w:ascii="Times New Roman" w:hAnsi="Times New Roman" w:cs="Times New Roman"/>
                <w:sz w:val="21"/>
                <w:szCs w:val="21"/>
              </w:rPr>
              <w:t> </w:t>
            </w:r>
          </w:p>
        </w:tc>
      </w:tr>
      <w:tr w:rsidR="00BE788E">
        <w:trPr>
          <w:divId w:val="1529678408"/>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其他</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ascii="Times New Roman" w:hAnsi="Times New Roman" w:cs="Times New Roman"/>
                <w:sz w:val="18"/>
                <w:szCs w:val="18"/>
              </w:rPr>
              <w:t>2-5</w:t>
            </w:r>
            <w:r>
              <w:rPr>
                <w:rFonts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ind w:firstLine="424"/>
              <w:jc w:val="center"/>
            </w:pPr>
            <w:r>
              <w:rPr>
                <w:rFonts w:ascii="Times New Roman" w:hAnsi="Times New Roman" w:cs="Times New Roman"/>
                <w:sz w:val="21"/>
                <w:szCs w:val="21"/>
              </w:rPr>
              <w:t> </w:t>
            </w:r>
          </w:p>
        </w:tc>
      </w:tr>
    </w:tbl>
    <w:p w:rsidR="00037019" w:rsidRDefault="00BE788E">
      <w:pPr>
        <w:pStyle w:val="3"/>
        <w:spacing w:line="280" w:lineRule="exact"/>
        <w:jc w:val="left"/>
        <w:rPr>
          <w:rFonts w:ascii="宋体" w:hAnsi="宋体" w:cs="宋体"/>
          <w:b/>
          <w:bCs/>
        </w:rPr>
      </w:pPr>
      <w:bookmarkStart w:id="153" w:name="_Toc989042"/>
      <w:r>
        <w:rPr>
          <w:rFonts w:ascii="宋体" w:hAnsi="宋体" w:cs="宋体"/>
          <w:b/>
          <w:bCs/>
        </w:rPr>
        <w:t>32、合同负债</w:t>
      </w:r>
      <w:bookmarkEnd w:id="153"/>
    </w:p>
    <w:p w:rsidR="00BE788E" w:rsidRPr="004E7FBF" w:rsidRDefault="00BE788E">
      <w:pPr>
        <w:pStyle w:val="a3"/>
        <w:spacing w:before="0" w:beforeAutospacing="0" w:after="0" w:afterAutospacing="0" w:line="360" w:lineRule="auto"/>
        <w:ind w:firstLine="420"/>
        <w:jc w:val="both"/>
        <w:divId w:val="2068138994"/>
        <w:rPr>
          <w:sz w:val="18"/>
          <w:szCs w:val="18"/>
        </w:rPr>
      </w:pPr>
      <w:r>
        <w:rPr>
          <w:rFonts w:hint="eastAsia"/>
          <w:sz w:val="18"/>
          <w:szCs w:val="18"/>
        </w:rPr>
        <w:t>本公司将已收或应收客户对价而应向客户转让商品的义务部分确认为合同负债。</w:t>
      </w:r>
    </w:p>
    <w:p w:rsidR="00037019" w:rsidRDefault="00BE788E">
      <w:pPr>
        <w:pStyle w:val="3"/>
        <w:spacing w:line="280" w:lineRule="exact"/>
        <w:jc w:val="left"/>
        <w:rPr>
          <w:rFonts w:ascii="宋体" w:hAnsi="宋体" w:cs="宋体"/>
          <w:b/>
          <w:bCs/>
        </w:rPr>
      </w:pPr>
      <w:bookmarkStart w:id="154" w:name="_Toc989043"/>
      <w:r>
        <w:rPr>
          <w:rFonts w:ascii="宋体" w:hAnsi="宋体" w:cs="宋体"/>
          <w:b/>
          <w:bCs/>
        </w:rPr>
        <w:t>33、职工薪</w:t>
      </w:r>
      <w:proofErr w:type="gramStart"/>
      <w:r>
        <w:rPr>
          <w:rFonts w:ascii="宋体" w:hAnsi="宋体" w:cs="宋体"/>
          <w:b/>
          <w:bCs/>
        </w:rPr>
        <w:t>酬</w:t>
      </w:r>
      <w:bookmarkEnd w:id="154"/>
      <w:proofErr w:type="gramEnd"/>
    </w:p>
    <w:p w:rsidR="00037019" w:rsidRDefault="00BE788E">
      <w:pPr>
        <w:keepNext/>
        <w:keepLines/>
        <w:spacing w:before="300" w:after="300" w:line="280" w:lineRule="exact"/>
        <w:outlineLvl w:val="3"/>
        <w:rPr>
          <w:rFonts w:ascii="宋体" w:eastAsia="宋体" w:hAnsi="宋体" w:cs="宋体"/>
          <w:b/>
          <w:bCs/>
          <w:szCs w:val="21"/>
        </w:rPr>
      </w:pPr>
      <w:bookmarkStart w:id="155" w:name="_Toc989044"/>
      <w:r>
        <w:rPr>
          <w:rFonts w:ascii="宋体" w:eastAsia="宋体" w:hAnsi="宋体" w:cs="宋体"/>
          <w:b/>
          <w:bCs/>
          <w:szCs w:val="21"/>
        </w:rPr>
        <w:t>（1） 短期薪酬的会计处理方法</w:t>
      </w:r>
      <w:bookmarkEnd w:id="155"/>
    </w:p>
    <w:p w:rsidR="00BE788E" w:rsidRPr="004E7FBF" w:rsidRDefault="00BE788E" w:rsidP="004E7FBF">
      <w:pPr>
        <w:pStyle w:val="a3"/>
        <w:spacing w:before="0" w:beforeAutospacing="0" w:after="0" w:afterAutospacing="0"/>
        <w:ind w:firstLine="420"/>
        <w:jc w:val="both"/>
        <w:divId w:val="633171968"/>
        <w:rPr>
          <w:sz w:val="18"/>
          <w:szCs w:val="18"/>
        </w:rPr>
      </w:pPr>
      <w:r>
        <w:rPr>
          <w:rFonts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037019" w:rsidRDefault="00BE788E">
      <w:pPr>
        <w:keepNext/>
        <w:keepLines/>
        <w:spacing w:before="300" w:after="300" w:line="280" w:lineRule="exact"/>
        <w:outlineLvl w:val="3"/>
        <w:rPr>
          <w:rFonts w:ascii="宋体" w:eastAsia="宋体" w:hAnsi="宋体" w:cs="宋体"/>
          <w:b/>
          <w:bCs/>
          <w:szCs w:val="21"/>
        </w:rPr>
      </w:pPr>
      <w:bookmarkStart w:id="156" w:name="_Toc989045"/>
      <w:r>
        <w:rPr>
          <w:rFonts w:ascii="宋体" w:eastAsia="宋体" w:hAnsi="宋体" w:cs="宋体"/>
          <w:b/>
          <w:bCs/>
          <w:szCs w:val="21"/>
        </w:rPr>
        <w:t>（2） 离职后福利的会计处理方法</w:t>
      </w:r>
      <w:bookmarkEnd w:id="156"/>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离职后福利是指本公司为获得职工提供的服务而在职工退休或与企业解除劳动关系后，提供的各种形式的报酬和福利，短期</w:t>
      </w:r>
      <w:proofErr w:type="gramStart"/>
      <w:r>
        <w:rPr>
          <w:rFonts w:hint="eastAsia"/>
          <w:sz w:val="18"/>
          <w:szCs w:val="18"/>
        </w:rPr>
        <w:t>薪</w:t>
      </w:r>
      <w:proofErr w:type="gramEnd"/>
      <w:r>
        <w:rPr>
          <w:rFonts w:hint="eastAsia"/>
          <w:sz w:val="18"/>
          <w:szCs w:val="18"/>
        </w:rPr>
        <w:t>酬和辞退福利除外。</w:t>
      </w:r>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本公司的离职后福利计划分类为设定提存计划和设定受益计划。</w:t>
      </w:r>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BE788E" w:rsidRPr="004E7FBF" w:rsidRDefault="00BE788E" w:rsidP="004E7FBF">
      <w:pPr>
        <w:pStyle w:val="a3"/>
        <w:spacing w:before="0" w:beforeAutospacing="0" w:after="0" w:afterAutospacing="0"/>
        <w:ind w:firstLine="420"/>
        <w:jc w:val="both"/>
        <w:divId w:val="1647975770"/>
        <w:rPr>
          <w:sz w:val="18"/>
          <w:szCs w:val="18"/>
        </w:rPr>
      </w:pPr>
      <w:r>
        <w:rPr>
          <w:rFonts w:hint="eastAsia"/>
          <w:sz w:val="18"/>
          <w:szCs w:val="18"/>
        </w:rPr>
        <w:t>本公司按照国家规定的标准定期缴付上述款项后，不再有其他的支付义务。</w:t>
      </w:r>
    </w:p>
    <w:p w:rsidR="00037019" w:rsidRDefault="00BE788E">
      <w:pPr>
        <w:keepNext/>
        <w:keepLines/>
        <w:spacing w:before="300" w:after="300" w:line="280" w:lineRule="exact"/>
        <w:outlineLvl w:val="3"/>
        <w:rPr>
          <w:rFonts w:ascii="宋体" w:eastAsia="宋体" w:hAnsi="宋体" w:cs="宋体"/>
          <w:b/>
          <w:bCs/>
          <w:szCs w:val="21"/>
        </w:rPr>
      </w:pPr>
      <w:bookmarkStart w:id="157" w:name="_Toc989046"/>
      <w:r>
        <w:rPr>
          <w:rFonts w:ascii="宋体" w:eastAsia="宋体" w:hAnsi="宋体" w:cs="宋体"/>
          <w:b/>
          <w:bCs/>
          <w:szCs w:val="21"/>
        </w:rPr>
        <w:t>（3） 辞退福利的会计处理方法</w:t>
      </w:r>
      <w:bookmarkEnd w:id="157"/>
    </w:p>
    <w:p w:rsidR="00BE788E" w:rsidRPr="004E7FBF" w:rsidRDefault="00BE788E" w:rsidP="004E7FBF">
      <w:pPr>
        <w:pStyle w:val="a3"/>
        <w:spacing w:before="0" w:beforeAutospacing="0" w:after="0" w:afterAutospacing="0"/>
        <w:ind w:firstLine="420"/>
        <w:jc w:val="both"/>
        <w:divId w:val="580331132"/>
        <w:rPr>
          <w:sz w:val="18"/>
          <w:szCs w:val="18"/>
        </w:rPr>
      </w:pPr>
      <w:r>
        <w:rPr>
          <w:rFonts w:hint="eastAsia"/>
          <w:sz w:val="18"/>
          <w:szCs w:val="18"/>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Pr>
          <w:rFonts w:hint="eastAsia"/>
          <w:sz w:val="18"/>
          <w:szCs w:val="18"/>
        </w:rPr>
        <w:t>孰</w:t>
      </w:r>
      <w:proofErr w:type="gramEnd"/>
      <w:r>
        <w:rPr>
          <w:rFonts w:hint="eastAsia"/>
          <w:sz w:val="18"/>
          <w:szCs w:val="18"/>
        </w:rPr>
        <w:t>早日，</w:t>
      </w:r>
      <w:proofErr w:type="gramStart"/>
      <w:r>
        <w:rPr>
          <w:rFonts w:hint="eastAsia"/>
          <w:sz w:val="18"/>
          <w:szCs w:val="18"/>
        </w:rPr>
        <w:t>确认因</w:t>
      </w:r>
      <w:proofErr w:type="gramEnd"/>
      <w:r>
        <w:rPr>
          <w:rFonts w:hint="eastAsia"/>
          <w:sz w:val="18"/>
          <w:szCs w:val="18"/>
        </w:rPr>
        <w:t>解除与职工的劳动关系给予补偿而产生的负债，同时计入当期损益。</w:t>
      </w:r>
    </w:p>
    <w:p w:rsidR="00BE788E" w:rsidRPr="004E7FBF" w:rsidRDefault="00BE788E" w:rsidP="004E7FBF">
      <w:pPr>
        <w:pStyle w:val="a3"/>
        <w:spacing w:before="0" w:beforeAutospacing="0" w:after="0" w:afterAutospacing="0"/>
        <w:ind w:firstLine="420"/>
        <w:jc w:val="both"/>
        <w:divId w:val="580331132"/>
        <w:rPr>
          <w:sz w:val="18"/>
          <w:szCs w:val="18"/>
        </w:rPr>
      </w:pPr>
      <w:r>
        <w:rPr>
          <w:rFonts w:hint="eastAsia"/>
          <w:sz w:val="18"/>
          <w:szCs w:val="18"/>
        </w:rPr>
        <w:lastRenderedPageBreak/>
        <w:t>本公司向接受内部退休安排的职工提供内退福利。内退福利是指，向未达到国家规定的退休年龄、经本公司管理层批准自愿退出工作岗位的职工支付的工资及为其缴纳的社会保险费等。本公司</w:t>
      </w:r>
      <w:proofErr w:type="gramStart"/>
      <w:r>
        <w:rPr>
          <w:rFonts w:hint="eastAsia"/>
          <w:sz w:val="18"/>
          <w:szCs w:val="18"/>
        </w:rPr>
        <w:t>自内部</w:t>
      </w:r>
      <w:proofErr w:type="gramEnd"/>
      <w:r>
        <w:rPr>
          <w:rFonts w:hint="eastAsia"/>
          <w:sz w:val="18"/>
          <w:szCs w:val="18"/>
        </w:rPr>
        <w:t>退休安排开始之日起</w:t>
      </w:r>
      <w:proofErr w:type="gramStart"/>
      <w:r>
        <w:rPr>
          <w:rFonts w:hint="eastAsia"/>
          <w:sz w:val="18"/>
          <w:szCs w:val="18"/>
        </w:rPr>
        <w:t>至职工</w:t>
      </w:r>
      <w:proofErr w:type="gramEnd"/>
      <w:r>
        <w:rPr>
          <w:rFonts w:hint="eastAsia"/>
          <w:sz w:val="18"/>
          <w:szCs w:val="18"/>
        </w:rPr>
        <w:t>达到正常退休年龄止，向内退职</w:t>
      </w:r>
      <w:proofErr w:type="gramStart"/>
      <w:r>
        <w:rPr>
          <w:rFonts w:hint="eastAsia"/>
          <w:sz w:val="18"/>
          <w:szCs w:val="18"/>
        </w:rPr>
        <w:t>工支付</w:t>
      </w:r>
      <w:proofErr w:type="gramEnd"/>
      <w:r>
        <w:rPr>
          <w:rFonts w:hint="eastAsia"/>
          <w:sz w:val="18"/>
          <w:szCs w:val="18"/>
        </w:rPr>
        <w:t>内部退养福利。对于内退福利，本公司比照辞退福利进行会计处理，在符合辞退福利相关确认条件时，将</w:t>
      </w:r>
      <w:proofErr w:type="gramStart"/>
      <w:r>
        <w:rPr>
          <w:rFonts w:hint="eastAsia"/>
          <w:sz w:val="18"/>
          <w:szCs w:val="18"/>
        </w:rPr>
        <w:t>自职工</w:t>
      </w:r>
      <w:proofErr w:type="gramEnd"/>
      <w:r>
        <w:rPr>
          <w:rFonts w:hint="eastAsia"/>
          <w:sz w:val="18"/>
          <w:szCs w:val="18"/>
        </w:rPr>
        <w:t>停止提供服务日至正常退休日期间</w:t>
      </w:r>
      <w:proofErr w:type="gramStart"/>
      <w:r>
        <w:rPr>
          <w:rFonts w:hint="eastAsia"/>
          <w:sz w:val="18"/>
          <w:szCs w:val="18"/>
        </w:rPr>
        <w:t>拟支付</w:t>
      </w:r>
      <w:proofErr w:type="gramEnd"/>
      <w:r>
        <w:rPr>
          <w:rFonts w:hint="eastAsia"/>
          <w:sz w:val="18"/>
          <w:szCs w:val="18"/>
        </w:rPr>
        <w:t>的内退职工工资和缴纳的社会保险费等，确认为负债，一次性计入当期损益。内退福利的精算假设变化及福利标准调整引起的差异于发生时计入当期损益。</w:t>
      </w:r>
    </w:p>
    <w:p w:rsidR="00037019" w:rsidRDefault="00BE788E">
      <w:pPr>
        <w:keepNext/>
        <w:keepLines/>
        <w:spacing w:before="300" w:after="300" w:line="280" w:lineRule="exact"/>
        <w:outlineLvl w:val="3"/>
        <w:rPr>
          <w:rFonts w:ascii="宋体" w:eastAsia="宋体" w:hAnsi="宋体" w:cs="宋体"/>
          <w:b/>
          <w:bCs/>
          <w:szCs w:val="21"/>
        </w:rPr>
      </w:pPr>
      <w:bookmarkStart w:id="158" w:name="_Toc989047"/>
      <w:r>
        <w:rPr>
          <w:rFonts w:ascii="宋体" w:eastAsia="宋体" w:hAnsi="宋体" w:cs="宋体"/>
          <w:b/>
          <w:bCs/>
          <w:szCs w:val="21"/>
        </w:rPr>
        <w:t>（4） 其他长期职工福利的会计处理方法</w:t>
      </w:r>
      <w:bookmarkEnd w:id="158"/>
    </w:p>
    <w:p w:rsidR="00BE788E" w:rsidRPr="004E7FBF" w:rsidRDefault="00BE788E" w:rsidP="004E7FBF">
      <w:pPr>
        <w:pStyle w:val="a3"/>
        <w:spacing w:before="0" w:beforeAutospacing="0" w:after="0" w:afterAutospacing="0"/>
        <w:ind w:firstLine="420"/>
        <w:jc w:val="both"/>
        <w:divId w:val="1840197601"/>
        <w:rPr>
          <w:sz w:val="18"/>
          <w:szCs w:val="18"/>
        </w:rPr>
      </w:pPr>
      <w:r>
        <w:rPr>
          <w:rFonts w:hint="eastAsia"/>
          <w:sz w:val="18"/>
          <w:szCs w:val="18"/>
        </w:rPr>
        <w:t>其他长期职工福利是指除短期薪酬、离职后福利、辞退福利之外的其他所有职工福利。</w:t>
      </w:r>
    </w:p>
    <w:p w:rsidR="00BE788E" w:rsidRPr="004E7FBF" w:rsidRDefault="00BE788E" w:rsidP="004E7FBF">
      <w:pPr>
        <w:pStyle w:val="a3"/>
        <w:spacing w:before="0" w:beforeAutospacing="0" w:after="0" w:afterAutospacing="0"/>
        <w:ind w:firstLine="420"/>
        <w:jc w:val="both"/>
        <w:divId w:val="1840197601"/>
        <w:rPr>
          <w:sz w:val="18"/>
          <w:szCs w:val="18"/>
        </w:rPr>
      </w:pPr>
      <w:r>
        <w:rPr>
          <w:rFonts w:hint="eastAsia"/>
          <w:sz w:val="18"/>
          <w:szCs w:val="18"/>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037019" w:rsidRDefault="00BE788E">
      <w:pPr>
        <w:pStyle w:val="3"/>
        <w:spacing w:line="280" w:lineRule="exact"/>
        <w:jc w:val="left"/>
        <w:rPr>
          <w:rFonts w:ascii="宋体" w:hAnsi="宋体" w:cs="宋体"/>
          <w:b/>
          <w:bCs/>
        </w:rPr>
      </w:pPr>
      <w:bookmarkStart w:id="159" w:name="_Toc989048"/>
      <w:r>
        <w:rPr>
          <w:rFonts w:ascii="宋体" w:hAnsi="宋体" w:cs="宋体"/>
          <w:b/>
          <w:bCs/>
        </w:rPr>
        <w:t>34、预计负债</w:t>
      </w:r>
      <w:bookmarkEnd w:id="159"/>
    </w:p>
    <w:p w:rsidR="00BE788E" w:rsidRDefault="00BE788E" w:rsidP="00F34484">
      <w:pPr>
        <w:widowControl/>
        <w:numPr>
          <w:ilvl w:val="0"/>
          <w:numId w:val="76"/>
        </w:numPr>
        <w:spacing w:before="100" w:beforeAutospacing="1" w:after="100" w:afterAutospacing="1"/>
        <w:divId w:val="9517183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预计负债的确认标准</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当与或有事项相关的义务是本公司承担的现时义务，且履行该义务很可能导致经济利益流出，以及该义务的金额能够可靠地计量，则确认为预计负债。</w:t>
      </w:r>
    </w:p>
    <w:p w:rsidR="00BE788E" w:rsidRDefault="00BE788E" w:rsidP="00F34484">
      <w:pPr>
        <w:widowControl/>
        <w:numPr>
          <w:ilvl w:val="0"/>
          <w:numId w:val="77"/>
        </w:numPr>
        <w:spacing w:before="100" w:beforeAutospacing="1" w:after="100" w:afterAutospacing="1"/>
        <w:divId w:val="9517183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预计负债的计量方法</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本公司预计负债</w:t>
      </w:r>
      <w:proofErr w:type="gramStart"/>
      <w:r>
        <w:rPr>
          <w:rFonts w:hint="eastAsia"/>
          <w:sz w:val="18"/>
          <w:szCs w:val="18"/>
        </w:rPr>
        <w:t>按履行</w:t>
      </w:r>
      <w:proofErr w:type="gramEnd"/>
      <w:r>
        <w:rPr>
          <w:rFonts w:hint="eastAsia"/>
          <w:sz w:val="18"/>
          <w:szCs w:val="18"/>
        </w:rPr>
        <w:t>相关现时义务所需的支出的最佳估计数进行初始计量。</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本公司在确定最佳估计数时，综合考虑与或有事项有关的风险、不确定性和货币时间价值等因素。对于货币时间价值影响重大的，通过对相关未来现金流出进行折现后确定最佳估计数。</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最佳估计数分别以下情况处理：</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所需支出存在一个连续范围（或区间），且该范围内各种结果发生的可能性相同的，</w:t>
      </w:r>
      <w:proofErr w:type="gramStart"/>
      <w:r>
        <w:rPr>
          <w:rFonts w:hint="eastAsia"/>
          <w:sz w:val="18"/>
          <w:szCs w:val="18"/>
        </w:rPr>
        <w:t>则最佳估计数按照</w:t>
      </w:r>
      <w:proofErr w:type="gramEnd"/>
      <w:r>
        <w:rPr>
          <w:rFonts w:hint="eastAsia"/>
          <w:sz w:val="18"/>
          <w:szCs w:val="18"/>
        </w:rPr>
        <w:t>该范围的中间值即上下限金额的平均数确定。</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所需支出不存在一个连续范围（或区间），或虽然存在一个连续范围但该范围内各种结果发生的可能性不相同的，如或有事项涉及单个项目的，</w:t>
      </w:r>
      <w:proofErr w:type="gramStart"/>
      <w:r>
        <w:rPr>
          <w:rFonts w:hint="eastAsia"/>
          <w:sz w:val="18"/>
          <w:szCs w:val="18"/>
        </w:rPr>
        <w:t>则最佳估计数按照</w:t>
      </w:r>
      <w:proofErr w:type="gramEnd"/>
      <w:r>
        <w:rPr>
          <w:rFonts w:hint="eastAsia"/>
          <w:sz w:val="18"/>
          <w:szCs w:val="18"/>
        </w:rPr>
        <w:t>最可能发生金额确定；如或有事项涉及多个项目的，</w:t>
      </w:r>
      <w:proofErr w:type="gramStart"/>
      <w:r>
        <w:rPr>
          <w:rFonts w:hint="eastAsia"/>
          <w:sz w:val="18"/>
          <w:szCs w:val="18"/>
        </w:rPr>
        <w:t>则最佳</w:t>
      </w:r>
      <w:proofErr w:type="gramEnd"/>
      <w:r>
        <w:rPr>
          <w:rFonts w:hint="eastAsia"/>
          <w:sz w:val="18"/>
          <w:szCs w:val="18"/>
        </w:rPr>
        <w:t>估计数按各种可能结果及相关概率计算确定。</w:t>
      </w:r>
    </w:p>
    <w:p w:rsidR="00BE788E" w:rsidRPr="004E7FBF" w:rsidRDefault="00BE788E" w:rsidP="004E7FBF">
      <w:pPr>
        <w:pStyle w:val="a3"/>
        <w:spacing w:before="0" w:beforeAutospacing="0" w:after="0" w:afterAutospacing="0"/>
        <w:ind w:firstLine="420"/>
        <w:jc w:val="both"/>
        <w:divId w:val="95171836"/>
        <w:rPr>
          <w:sz w:val="18"/>
          <w:szCs w:val="18"/>
        </w:rPr>
      </w:pPr>
      <w:r>
        <w:rPr>
          <w:rFonts w:hint="eastAsia"/>
          <w:sz w:val="18"/>
          <w:szCs w:val="18"/>
        </w:rPr>
        <w:t>本公司清偿预计负债所需支出全部或部分预期由第三方补偿的，补偿金额在基本确定能够收到时，作为资产单独确认，确认的补偿金额不超过预计负债的账面价值。</w:t>
      </w:r>
    </w:p>
    <w:p w:rsidR="00037019" w:rsidRDefault="00BE788E">
      <w:pPr>
        <w:pStyle w:val="3"/>
        <w:spacing w:line="280" w:lineRule="exact"/>
        <w:jc w:val="left"/>
        <w:rPr>
          <w:rFonts w:ascii="宋体" w:hAnsi="宋体" w:cs="宋体"/>
          <w:b/>
          <w:bCs/>
        </w:rPr>
      </w:pPr>
      <w:bookmarkStart w:id="160" w:name="_Toc989049"/>
      <w:r>
        <w:rPr>
          <w:rFonts w:ascii="宋体" w:hAnsi="宋体" w:cs="宋体"/>
          <w:b/>
          <w:bCs/>
        </w:rPr>
        <w:t>35、股份支付</w:t>
      </w:r>
      <w:bookmarkEnd w:id="160"/>
    </w:p>
    <w:p w:rsidR="00BE788E" w:rsidRDefault="00BE788E" w:rsidP="00F34484">
      <w:pPr>
        <w:widowControl/>
        <w:numPr>
          <w:ilvl w:val="0"/>
          <w:numId w:val="78"/>
        </w:numPr>
        <w:spacing w:before="100" w:beforeAutospacing="1" w:after="100" w:afterAutospacing="1"/>
        <w:divId w:val="85599814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股份支付的种类</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本公司的股份支付分为以权益结算的股份支付和以现金结算的股份支付。</w:t>
      </w:r>
    </w:p>
    <w:p w:rsidR="00BE788E" w:rsidRDefault="00BE788E" w:rsidP="00F34484">
      <w:pPr>
        <w:widowControl/>
        <w:numPr>
          <w:ilvl w:val="0"/>
          <w:numId w:val="79"/>
        </w:numPr>
        <w:spacing w:before="100" w:beforeAutospacing="1" w:after="100" w:afterAutospacing="1"/>
        <w:divId w:val="85599814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权益工具公允价值的确定方法</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1）期权的行权价格；</w:t>
      </w:r>
      <w:r>
        <w:rPr>
          <w:rFonts w:hint="eastAsia"/>
          <w:sz w:val="18"/>
          <w:szCs w:val="18"/>
        </w:rPr>
        <w:lastRenderedPageBreak/>
        <w:t>（2）期权的有效期；（3）标的股份的现行价格；（4）股价预计波动率；（5）股份的预计股利；（6）期权有效期内的无风险利率。</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在确定权益工具授予日的公允价值时，考虑股份支付协议规定的可行</w:t>
      </w:r>
      <w:proofErr w:type="gramStart"/>
      <w:r>
        <w:rPr>
          <w:rFonts w:hint="eastAsia"/>
          <w:sz w:val="18"/>
          <w:szCs w:val="18"/>
        </w:rPr>
        <w:t>权条件</w:t>
      </w:r>
      <w:proofErr w:type="gramEnd"/>
      <w:r>
        <w:rPr>
          <w:rFonts w:hint="eastAsia"/>
          <w:sz w:val="18"/>
          <w:szCs w:val="18"/>
        </w:rPr>
        <w:t>中的市场条件和非可行</w:t>
      </w:r>
      <w:proofErr w:type="gramStart"/>
      <w:r>
        <w:rPr>
          <w:rFonts w:hint="eastAsia"/>
          <w:sz w:val="18"/>
          <w:szCs w:val="18"/>
        </w:rPr>
        <w:t>权条件</w:t>
      </w:r>
      <w:proofErr w:type="gramEnd"/>
      <w:r>
        <w:rPr>
          <w:rFonts w:hint="eastAsia"/>
          <w:sz w:val="18"/>
          <w:szCs w:val="18"/>
        </w:rPr>
        <w:t>的影响。股份支付存在非可行</w:t>
      </w:r>
      <w:proofErr w:type="gramStart"/>
      <w:r>
        <w:rPr>
          <w:rFonts w:hint="eastAsia"/>
          <w:sz w:val="18"/>
          <w:szCs w:val="18"/>
        </w:rPr>
        <w:t>权条件</w:t>
      </w:r>
      <w:proofErr w:type="gramEnd"/>
      <w:r>
        <w:rPr>
          <w:rFonts w:hint="eastAsia"/>
          <w:sz w:val="18"/>
          <w:szCs w:val="18"/>
        </w:rPr>
        <w:t>的，只要职工或其他方满足了所有可行</w:t>
      </w:r>
      <w:proofErr w:type="gramStart"/>
      <w:r>
        <w:rPr>
          <w:rFonts w:hint="eastAsia"/>
          <w:sz w:val="18"/>
          <w:szCs w:val="18"/>
        </w:rPr>
        <w:t>权条件</w:t>
      </w:r>
      <w:proofErr w:type="gramEnd"/>
      <w:r>
        <w:rPr>
          <w:rFonts w:hint="eastAsia"/>
          <w:sz w:val="18"/>
          <w:szCs w:val="18"/>
        </w:rPr>
        <w:t>中的非市场条件（如服务期限等），即确认已得到服务相对应的成本费用。</w:t>
      </w:r>
    </w:p>
    <w:p w:rsidR="00BE788E" w:rsidRDefault="00BE788E" w:rsidP="00F34484">
      <w:pPr>
        <w:widowControl/>
        <w:numPr>
          <w:ilvl w:val="0"/>
          <w:numId w:val="80"/>
        </w:numPr>
        <w:spacing w:before="100" w:beforeAutospacing="1" w:after="100" w:afterAutospacing="1"/>
        <w:divId w:val="855998147"/>
        <w:rPr>
          <w:sz w:val="18"/>
          <w:szCs w:val="18"/>
        </w:rPr>
      </w:pPr>
      <w:r>
        <w:rPr>
          <w:rFonts w:ascii="Times New Roman" w:hAnsi="Times New Roman" w:cs="Times New Roman"/>
          <w:sz w:val="18"/>
          <w:szCs w:val="18"/>
        </w:rPr>
        <w:t>  </w:t>
      </w:r>
      <w:r>
        <w:rPr>
          <w:rFonts w:hint="eastAsia"/>
          <w:sz w:val="18"/>
          <w:szCs w:val="18"/>
        </w:rPr>
        <w:t>确定可行权权益工具最佳估计的依据</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等待期内每个资产负债表日，根据最新取得的可行</w:t>
      </w:r>
      <w:proofErr w:type="gramStart"/>
      <w:r>
        <w:rPr>
          <w:rFonts w:hint="eastAsia"/>
          <w:sz w:val="18"/>
          <w:szCs w:val="18"/>
        </w:rPr>
        <w:t>权职工</w:t>
      </w:r>
      <w:proofErr w:type="gramEnd"/>
      <w:r>
        <w:rPr>
          <w:rFonts w:hint="eastAsia"/>
          <w:sz w:val="18"/>
          <w:szCs w:val="18"/>
        </w:rPr>
        <w:t>人数变动等后续信息</w:t>
      </w:r>
      <w:proofErr w:type="gramStart"/>
      <w:r>
        <w:rPr>
          <w:rFonts w:hint="eastAsia"/>
          <w:sz w:val="18"/>
          <w:szCs w:val="18"/>
        </w:rPr>
        <w:t>作出</w:t>
      </w:r>
      <w:proofErr w:type="gramEnd"/>
      <w:r>
        <w:rPr>
          <w:rFonts w:hint="eastAsia"/>
          <w:sz w:val="18"/>
          <w:szCs w:val="18"/>
        </w:rPr>
        <w:t>最佳估计，修正预计可行权的权益工具数量。在可行权日，最终预计可行权权益工具的数量与实际可行权数量一致。</w:t>
      </w:r>
    </w:p>
    <w:p w:rsidR="00BE788E" w:rsidRDefault="00BE788E" w:rsidP="00F34484">
      <w:pPr>
        <w:widowControl/>
        <w:numPr>
          <w:ilvl w:val="0"/>
          <w:numId w:val="81"/>
        </w:numPr>
        <w:spacing w:before="100" w:beforeAutospacing="1" w:after="100" w:afterAutospacing="1"/>
        <w:divId w:val="85599814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（1）权益结算和现金结算股份支付的会计处理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以权益结算的股份支付，按授予职工权益工具的公允价值计量。授予后立即可行权的，在授予</w:t>
      </w:r>
      <w:proofErr w:type="gramStart"/>
      <w:r>
        <w:rPr>
          <w:rFonts w:hint="eastAsia"/>
          <w:sz w:val="18"/>
          <w:szCs w:val="18"/>
        </w:rPr>
        <w:t>日按照</w:t>
      </w:r>
      <w:proofErr w:type="gramEnd"/>
      <w:r>
        <w:rPr>
          <w:rFonts w:hint="eastAsia"/>
          <w:sz w:val="18"/>
          <w:szCs w:val="18"/>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Pr>
          <w:rFonts w:hint="eastAsia"/>
          <w:sz w:val="18"/>
          <w:szCs w:val="18"/>
        </w:rPr>
        <w:t>权情况</w:t>
      </w:r>
      <w:proofErr w:type="gramEnd"/>
      <w:r>
        <w:rPr>
          <w:rFonts w:hint="eastAsia"/>
          <w:sz w:val="18"/>
          <w:szCs w:val="18"/>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（2）股份支付条款和条件修改的会计处理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对于不利修改，本公司视同该变更从未发生，仍继续对取得的服务进行会计处理。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对于有利修改，本公司按照如下规定进行处理：如果修改增加了所授予的权益工具的公允价值，企业应按照权益工具公允价值的增加相应地确认取得服务的增加。如果修改发生在等待期内，在确认修改日至修改后的可行权日之间取得服务的公允价值时，应当既包括在剩余原等待期内以原权益工具授予日公允价值为基础确定的服务金额，也包括权益工具公允价值的增加。如果修改发生在可行权日之后，应当立即确认权益工具公允价值的增加。如果股份支付协议要求职工只有先完成更长期间的服务才能取得修改后的权益工具，则企业应在整个等待期内确认权益工具公允价值的增加。</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如果修改增加了所授予的权益工具的数量，企业将增加的权益工具的公允价值相应地确认为取得服务的增加。如果修改发生在等待期内，在确认修改日至增加的权益工具可行权日之间取得服务的公允价值时，应当既包括在剩余原等待期内以原权益工具授予日公允价值为基础确定的服务金额，也包括权益工具公允价值的增加。</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如果企业按照有利于职工的方式修改可行权条件，如缩短等待期、变更或取消业绩条件（而非市场条件），企业在处理可行</w:t>
      </w:r>
      <w:proofErr w:type="gramStart"/>
      <w:r>
        <w:rPr>
          <w:rFonts w:hint="eastAsia"/>
          <w:sz w:val="18"/>
          <w:szCs w:val="18"/>
        </w:rPr>
        <w:t>权条件</w:t>
      </w:r>
      <w:proofErr w:type="gramEnd"/>
      <w:r>
        <w:rPr>
          <w:rFonts w:hint="eastAsia"/>
          <w:sz w:val="18"/>
          <w:szCs w:val="18"/>
        </w:rPr>
        <w:t>时，应当考虑修改后的可行权条件。</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（3）股份支付取消的会计处理</w:t>
      </w:r>
    </w:p>
    <w:p w:rsidR="00BE788E" w:rsidRPr="004E7FBF" w:rsidRDefault="00BE788E" w:rsidP="004E7FBF">
      <w:pPr>
        <w:pStyle w:val="a3"/>
        <w:spacing w:before="0" w:beforeAutospacing="0" w:after="0" w:afterAutospacing="0"/>
        <w:ind w:firstLine="420"/>
        <w:jc w:val="both"/>
        <w:divId w:val="855998147"/>
        <w:rPr>
          <w:sz w:val="18"/>
          <w:szCs w:val="18"/>
        </w:rPr>
      </w:pPr>
      <w:r>
        <w:rPr>
          <w:rFonts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Pr>
          <w:rFonts w:hint="eastAsia"/>
          <w:sz w:val="18"/>
          <w:szCs w:val="18"/>
        </w:rPr>
        <w:t>权条件</w:t>
      </w:r>
      <w:proofErr w:type="gramEnd"/>
      <w:r>
        <w:rPr>
          <w:rFonts w:hint="eastAsia"/>
          <w:sz w:val="18"/>
          <w:szCs w:val="18"/>
        </w:rPr>
        <w:t>但在等待期内未满足的，本公司将其作为授予权益工具的取消处理。</w:t>
      </w:r>
    </w:p>
    <w:p w:rsidR="00037019" w:rsidRDefault="00BE788E">
      <w:pPr>
        <w:pStyle w:val="3"/>
        <w:spacing w:line="280" w:lineRule="exact"/>
        <w:jc w:val="left"/>
        <w:rPr>
          <w:rFonts w:ascii="宋体" w:hAnsi="宋体" w:cs="宋体"/>
          <w:b/>
          <w:bCs/>
        </w:rPr>
      </w:pPr>
      <w:bookmarkStart w:id="161" w:name="_Toc989050"/>
      <w:r>
        <w:rPr>
          <w:rFonts w:ascii="宋体" w:hAnsi="宋体" w:cs="宋体"/>
          <w:b/>
          <w:bCs/>
        </w:rPr>
        <w:t>36、优先股、永续债等其他金融工具</w:t>
      </w:r>
      <w:bookmarkEnd w:id="161"/>
    </w:p>
    <w:p w:rsidR="00BE788E" w:rsidRPr="004E7FBF" w:rsidRDefault="00BE788E" w:rsidP="004E7FBF">
      <w:pPr>
        <w:pStyle w:val="a3"/>
        <w:spacing w:before="0" w:beforeAutospacing="0" w:after="0" w:afterAutospacing="0"/>
        <w:ind w:firstLine="420"/>
        <w:jc w:val="both"/>
        <w:divId w:val="87569737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62" w:name="_Toc989051"/>
      <w:r>
        <w:rPr>
          <w:rFonts w:ascii="宋体" w:hAnsi="宋体" w:cs="宋体"/>
          <w:b/>
          <w:bCs/>
        </w:rPr>
        <w:lastRenderedPageBreak/>
        <w:t>37、收入</w:t>
      </w:r>
      <w:bookmarkEnd w:id="162"/>
    </w:p>
    <w:p w:rsidR="00037019" w:rsidRDefault="00BE788E" w:rsidP="004E7FBF">
      <w:pPr>
        <w:pStyle w:val="a3"/>
        <w:spacing w:before="0" w:beforeAutospacing="0" w:after="0" w:afterAutospacing="0"/>
        <w:ind w:firstLine="420"/>
        <w:jc w:val="both"/>
        <w:rPr>
          <w:sz w:val="18"/>
          <w:szCs w:val="18"/>
        </w:rPr>
      </w:pPr>
      <w:r>
        <w:rPr>
          <w:sz w:val="18"/>
          <w:szCs w:val="18"/>
        </w:rPr>
        <w:t>按照业务类型披露收入确认和计量所采用的会计政策</w:t>
      </w:r>
    </w:p>
    <w:p w:rsidR="00BE788E" w:rsidRDefault="00BE788E" w:rsidP="00F34484">
      <w:pPr>
        <w:widowControl/>
        <w:numPr>
          <w:ilvl w:val="0"/>
          <w:numId w:val="82"/>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收入确认的一般原则</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本公司在履行了合同中的履约义务，即在客户取得相关商品或服务控制权时，按照分摊至该项履约义务的交易价格确认收入。履约义务，是指合同中本公司向客户转让可明确区分商品或服务的承诺。取得相关商品控制权，是指能够主导该商品的使用并从中获得几乎全部的经济利益。</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sidRPr="004E7FBF">
        <w:rPr>
          <w:sz w:val="18"/>
          <w:szCs w:val="18"/>
        </w:rPr>
        <w:t>(1)</w:t>
      </w:r>
      <w:r>
        <w:rPr>
          <w:rFonts w:hint="eastAsia"/>
          <w:sz w:val="18"/>
          <w:szCs w:val="18"/>
        </w:rPr>
        <w:t>客户在本公司履约的同时即取得并消耗本公司履约所带来的经济利益；</w:t>
      </w:r>
      <w:r w:rsidRPr="004E7FBF">
        <w:rPr>
          <w:sz w:val="18"/>
          <w:szCs w:val="18"/>
        </w:rPr>
        <w:t>(2)</w:t>
      </w:r>
      <w:r>
        <w:rPr>
          <w:rFonts w:hint="eastAsia"/>
          <w:sz w:val="18"/>
          <w:szCs w:val="18"/>
        </w:rPr>
        <w:t>客户能够控制本公司履约过程中在建的商品；</w:t>
      </w:r>
      <w:r w:rsidRPr="004E7FBF">
        <w:rPr>
          <w:sz w:val="18"/>
          <w:szCs w:val="18"/>
        </w:rPr>
        <w:t>(3)</w:t>
      </w:r>
      <w:r>
        <w:rPr>
          <w:rFonts w:hint="eastAsia"/>
          <w:sz w:val="18"/>
          <w:szCs w:val="18"/>
        </w:rPr>
        <w:t>本公司履约过程中所产出的商品具有不可替代用途，且本公司在整个合同期间内有权就累计至今已完成的履约部分收取款项。否则，本公司在客户取得相关商品或服务控制权的时点确认收入。</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对于在某一时段内履行的履约义务，本公司根据商品和劳务的性质，采用产出法确定恰当的履约进度。产出法是根据已转移给客户的商品对于客户的价值确定履约进度。当履约进度不能合理确定时，已经发生的成本预计能够得到补偿的，本公司按照已经发生的成本金额确认收入，直到履约进度能够合理确定为止。</w:t>
      </w:r>
    </w:p>
    <w:p w:rsidR="00BE788E" w:rsidRDefault="00BE788E" w:rsidP="00F34484">
      <w:pPr>
        <w:widowControl/>
        <w:numPr>
          <w:ilvl w:val="0"/>
          <w:numId w:val="83"/>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收入确认的具体方法</w:t>
      </w:r>
    </w:p>
    <w:p w:rsidR="00BE788E" w:rsidRDefault="00BE788E">
      <w:pPr>
        <w:pStyle w:val="a3"/>
        <w:spacing w:before="0" w:beforeAutospacing="0" w:after="0" w:afterAutospacing="0" w:line="360" w:lineRule="auto"/>
        <w:ind w:left="422"/>
        <w:jc w:val="both"/>
        <w:divId w:val="6292361"/>
        <w:rPr>
          <w:b/>
          <w:bCs/>
          <w:sz w:val="21"/>
          <w:szCs w:val="21"/>
        </w:rPr>
      </w:pPr>
      <w:r>
        <w:rPr>
          <w:rFonts w:hint="eastAsia"/>
          <w:b/>
          <w:bCs/>
          <w:sz w:val="18"/>
          <w:szCs w:val="18"/>
        </w:rPr>
        <w:t>（</w:t>
      </w:r>
      <w:r>
        <w:rPr>
          <w:rFonts w:ascii="Times New Roman" w:hAnsi="Times New Roman" w:cs="Times New Roman"/>
          <w:b/>
          <w:bCs/>
          <w:sz w:val="18"/>
          <w:szCs w:val="18"/>
        </w:rPr>
        <w:t>1</w:t>
      </w:r>
      <w:r>
        <w:rPr>
          <w:rFonts w:hint="eastAsia"/>
          <w:b/>
          <w:bCs/>
          <w:sz w:val="18"/>
          <w:szCs w:val="18"/>
        </w:rPr>
        <w:t>）销售商品收入</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公司的产品销售属于在某一时</w:t>
      </w:r>
      <w:proofErr w:type="gramStart"/>
      <w:r>
        <w:rPr>
          <w:rFonts w:hint="eastAsia"/>
          <w:sz w:val="18"/>
          <w:szCs w:val="18"/>
        </w:rPr>
        <w:t>点履行</w:t>
      </w:r>
      <w:proofErr w:type="gramEnd"/>
      <w:r>
        <w:rPr>
          <w:rFonts w:hint="eastAsia"/>
          <w:sz w:val="18"/>
          <w:szCs w:val="18"/>
        </w:rPr>
        <w:t>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线上销售收入在客户确认签收时确认对应的收入实现。</w:t>
      </w:r>
    </w:p>
    <w:p w:rsidR="00BE788E" w:rsidRDefault="00BE788E">
      <w:pPr>
        <w:pStyle w:val="a3"/>
        <w:spacing w:before="0" w:beforeAutospacing="0" w:after="0" w:afterAutospacing="0" w:line="360" w:lineRule="auto"/>
        <w:ind w:firstLine="422"/>
        <w:jc w:val="both"/>
        <w:divId w:val="6292361"/>
        <w:rPr>
          <w:sz w:val="21"/>
          <w:szCs w:val="21"/>
        </w:rPr>
      </w:pPr>
      <w:r>
        <w:rPr>
          <w:rStyle w:val="a5"/>
          <w:rFonts w:hint="eastAsia"/>
          <w:sz w:val="18"/>
          <w:szCs w:val="18"/>
        </w:rPr>
        <w:t>（</w:t>
      </w:r>
      <w:r>
        <w:rPr>
          <w:rStyle w:val="a5"/>
          <w:rFonts w:ascii="Times New Roman" w:hAnsi="Times New Roman" w:cs="Times New Roman"/>
          <w:sz w:val="18"/>
          <w:szCs w:val="18"/>
        </w:rPr>
        <w:t>2</w:t>
      </w:r>
      <w:r>
        <w:rPr>
          <w:rStyle w:val="a5"/>
          <w:rFonts w:hint="eastAsia"/>
          <w:sz w:val="18"/>
          <w:szCs w:val="18"/>
        </w:rPr>
        <w:t>）出租收入</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按与承租方</w:t>
      </w:r>
      <w:proofErr w:type="gramStart"/>
      <w:r>
        <w:rPr>
          <w:rFonts w:hint="eastAsia"/>
          <w:sz w:val="18"/>
          <w:szCs w:val="18"/>
        </w:rPr>
        <w:t>签定</w:t>
      </w:r>
      <w:proofErr w:type="gramEnd"/>
      <w:r>
        <w:rPr>
          <w:rFonts w:hint="eastAsia"/>
          <w:sz w:val="18"/>
          <w:szCs w:val="18"/>
        </w:rPr>
        <w:t>的合同或协议规定的承租方付租期间和金额，按直线法分摊确认设备出租收入的实现。</w:t>
      </w:r>
    </w:p>
    <w:p w:rsidR="00BE788E" w:rsidRDefault="00BE788E" w:rsidP="00F34484">
      <w:pPr>
        <w:widowControl/>
        <w:numPr>
          <w:ilvl w:val="0"/>
          <w:numId w:val="84"/>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特定交易的收入处理原则</w:t>
      </w:r>
      <w:r>
        <w:rPr>
          <w:rFonts w:ascii="Times New Roman" w:hAnsi="Times New Roman" w:cs="Times New Roman"/>
          <w:sz w:val="18"/>
          <w:szCs w:val="18"/>
        </w:rPr>
        <w:t xml:space="preserve"> </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1</w:t>
      </w:r>
      <w:r>
        <w:rPr>
          <w:rFonts w:hint="eastAsia"/>
          <w:sz w:val="18"/>
          <w:szCs w:val="18"/>
        </w:rPr>
        <w:t>）附有销售退回条款的合同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对于附有销售退回条款的销售，本公司在客户取得相关商品控制权时，按照因向客户转让商品而预期有权收取的对</w:t>
      </w:r>
      <w:proofErr w:type="gramStart"/>
      <w:r>
        <w:rPr>
          <w:rFonts w:hint="eastAsia"/>
          <w:sz w:val="18"/>
          <w:szCs w:val="18"/>
        </w:rPr>
        <w:t>价金额</w:t>
      </w:r>
      <w:proofErr w:type="gramEnd"/>
      <w:r w:rsidRPr="004E7FBF">
        <w:rPr>
          <w:sz w:val="18"/>
          <w:szCs w:val="18"/>
        </w:rPr>
        <w:t>(</w:t>
      </w:r>
      <w:r>
        <w:rPr>
          <w:rFonts w:hint="eastAsia"/>
          <w:sz w:val="18"/>
          <w:szCs w:val="18"/>
        </w:rPr>
        <w:t>即，不包含预期因销售退回将退还的金额</w:t>
      </w:r>
      <w:r w:rsidRPr="004E7FBF">
        <w:rPr>
          <w:sz w:val="18"/>
          <w:szCs w:val="18"/>
        </w:rPr>
        <w:t>)</w:t>
      </w:r>
      <w:r>
        <w:rPr>
          <w:rFonts w:hint="eastAsia"/>
          <w:sz w:val="18"/>
          <w:szCs w:val="18"/>
        </w:rPr>
        <w:t>确认收入，按照预期因销售退回将退还的金额确认负债；同时，按照预期将退回商品转让时的账面价值，扣除收回该商品预计发生的成本</w:t>
      </w:r>
      <w:r w:rsidRPr="004E7FBF">
        <w:rPr>
          <w:sz w:val="18"/>
          <w:szCs w:val="18"/>
        </w:rPr>
        <w:t>(</w:t>
      </w:r>
      <w:r>
        <w:rPr>
          <w:rFonts w:hint="eastAsia"/>
          <w:sz w:val="18"/>
          <w:szCs w:val="18"/>
        </w:rPr>
        <w:t>包括退回商品的价值减损</w:t>
      </w:r>
      <w:r w:rsidRPr="004E7FBF">
        <w:rPr>
          <w:sz w:val="18"/>
          <w:szCs w:val="18"/>
        </w:rPr>
        <w:t>)</w:t>
      </w:r>
      <w:r>
        <w:rPr>
          <w:rFonts w:hint="eastAsia"/>
          <w:sz w:val="18"/>
          <w:szCs w:val="18"/>
        </w:rPr>
        <w:t>后的余额，确认为一项资产，按照所转让商品转让时的账面价值，扣除上述资产成本的净额结转成本。</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2</w:t>
      </w:r>
      <w:r>
        <w:rPr>
          <w:rFonts w:hint="eastAsia"/>
          <w:sz w:val="18"/>
          <w:szCs w:val="18"/>
        </w:rPr>
        <w:t>）附有质量保证条款的合同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对于附有质量保证条款的销售，如果该质量保证在向客户保证所销售商品或服务符合既定标准之外提供了一项单独的服务，该质量保证构成单项履约义务。否则，本公司按照《企业会计准则第</w:t>
      </w:r>
      <w:r w:rsidRPr="004E7FBF">
        <w:rPr>
          <w:sz w:val="18"/>
          <w:szCs w:val="18"/>
        </w:rPr>
        <w:t xml:space="preserve">13 </w:t>
      </w:r>
      <w:r>
        <w:rPr>
          <w:rFonts w:hint="eastAsia"/>
          <w:sz w:val="18"/>
          <w:szCs w:val="18"/>
        </w:rPr>
        <w:t>号</w:t>
      </w:r>
      <w:r w:rsidRPr="004E7FBF">
        <w:rPr>
          <w:sz w:val="18"/>
          <w:szCs w:val="18"/>
        </w:rPr>
        <w:t>——</w:t>
      </w:r>
      <w:r>
        <w:rPr>
          <w:rFonts w:hint="eastAsia"/>
          <w:sz w:val="18"/>
          <w:szCs w:val="18"/>
        </w:rPr>
        <w:t>或有事项》规定对质量保证责任进行会计处理</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3</w:t>
      </w:r>
      <w:r>
        <w:rPr>
          <w:rFonts w:hint="eastAsia"/>
          <w:sz w:val="18"/>
          <w:szCs w:val="18"/>
        </w:rPr>
        <w:t>）附有客户额外购买选择权的销售合同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客户额外购买选择权包括销售激励措施、客户奖励积分、续约选择权、针对未来商品或服务的其他折扣等，对于向客户提供了重大权利的额外购买选择权，本公司将其作为单项履约义务，在客户未来行使购买选择</w:t>
      </w:r>
      <w:proofErr w:type="gramStart"/>
      <w:r>
        <w:rPr>
          <w:rFonts w:hint="eastAsia"/>
          <w:sz w:val="18"/>
          <w:szCs w:val="18"/>
        </w:rPr>
        <w:t>权取得</w:t>
      </w:r>
      <w:proofErr w:type="gramEnd"/>
      <w:r>
        <w:rPr>
          <w:rFonts w:hint="eastAsia"/>
          <w:sz w:val="18"/>
          <w:szCs w:val="18"/>
        </w:rPr>
        <w:t>相关商品或服务控制权时，或者该选择权失效时，确认相应的收入。客户额外购买选择权的单独售价无法直接观察的，本公司综合考虑客户行使和不行使该选择权所能获得的折扣的差异、客户行使该选择权的可能性等全部相关信息予以估计。</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lastRenderedPageBreak/>
        <w:t>（</w:t>
      </w:r>
      <w:r w:rsidRPr="004E7FBF">
        <w:rPr>
          <w:sz w:val="18"/>
          <w:szCs w:val="18"/>
        </w:rPr>
        <w:t>4</w:t>
      </w:r>
      <w:r>
        <w:rPr>
          <w:rFonts w:hint="eastAsia"/>
          <w:sz w:val="18"/>
          <w:szCs w:val="18"/>
        </w:rPr>
        <w:t>）向客户授予知识产权许可的合同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w:t>
      </w:r>
      <w:proofErr w:type="gramStart"/>
      <w:r>
        <w:rPr>
          <w:rFonts w:hint="eastAsia"/>
          <w:sz w:val="18"/>
          <w:szCs w:val="18"/>
        </w:rPr>
        <w:t>两项孰晚的</w:t>
      </w:r>
      <w:proofErr w:type="gramEnd"/>
      <w:r>
        <w:rPr>
          <w:rFonts w:hint="eastAsia"/>
          <w:sz w:val="18"/>
          <w:szCs w:val="18"/>
        </w:rPr>
        <w:t>时点确认收入：客户后续销售或使用行为实际发生；公司履行相关履约义务。</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w:t>
      </w:r>
      <w:r w:rsidRPr="004E7FBF">
        <w:rPr>
          <w:sz w:val="18"/>
          <w:szCs w:val="18"/>
        </w:rPr>
        <w:t>5</w:t>
      </w:r>
      <w:r>
        <w:rPr>
          <w:rFonts w:hint="eastAsia"/>
          <w:sz w:val="18"/>
          <w:szCs w:val="18"/>
        </w:rPr>
        <w:t>）售后回购</w:t>
      </w:r>
    </w:p>
    <w:p w:rsidR="00BE788E" w:rsidRDefault="00BE788E" w:rsidP="00F34484">
      <w:pPr>
        <w:widowControl/>
        <w:numPr>
          <w:ilvl w:val="0"/>
          <w:numId w:val="85"/>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BE788E" w:rsidRDefault="00BE788E" w:rsidP="00F34484">
      <w:pPr>
        <w:widowControl/>
        <w:numPr>
          <w:ilvl w:val="0"/>
          <w:numId w:val="85"/>
        </w:numPr>
        <w:spacing w:before="100" w:beforeAutospacing="1" w:after="100" w:afterAutospacing="1"/>
        <w:divId w:val="629236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应客户要求产生的回购义务的合同：经评估客户具有重大经济动因的，将售后回购作为租赁交易或融资交易，按照本条</w:t>
      </w:r>
      <w:r>
        <w:rPr>
          <w:rFonts w:ascii="Times New Roman" w:hAnsi="Times New Roman" w:cs="Times New Roman"/>
          <w:sz w:val="18"/>
          <w:szCs w:val="18"/>
        </w:rPr>
        <w:t>1</w:t>
      </w:r>
      <w:r>
        <w:rPr>
          <w:rFonts w:hint="eastAsia"/>
          <w:sz w:val="18"/>
          <w:szCs w:val="18"/>
        </w:rPr>
        <w:t>）规定进行会计处理；否则将其作为附有销售退回条款的销售交易进行处理。</w:t>
      </w:r>
    </w:p>
    <w:p w:rsidR="00BE788E" w:rsidRDefault="00BE788E">
      <w:pPr>
        <w:pStyle w:val="a3"/>
        <w:spacing w:before="0" w:beforeAutospacing="0" w:after="0" w:afterAutospacing="0" w:line="360" w:lineRule="auto"/>
        <w:ind w:firstLine="420"/>
        <w:jc w:val="both"/>
        <w:divId w:val="6292361"/>
        <w:rPr>
          <w:sz w:val="21"/>
          <w:szCs w:val="21"/>
        </w:rPr>
      </w:pPr>
      <w:r>
        <w:rPr>
          <w:rFonts w:hint="eastAsia"/>
          <w:sz w:val="18"/>
          <w:szCs w:val="18"/>
        </w:rPr>
        <w:t>（</w:t>
      </w:r>
      <w:r>
        <w:rPr>
          <w:rFonts w:ascii="Times New Roman" w:hAnsi="Times New Roman" w:cs="Times New Roman"/>
          <w:sz w:val="18"/>
          <w:szCs w:val="18"/>
        </w:rPr>
        <w:t>6</w:t>
      </w:r>
      <w:r>
        <w:rPr>
          <w:rFonts w:hint="eastAsia"/>
          <w:sz w:val="18"/>
          <w:szCs w:val="18"/>
        </w:rPr>
        <w:t>）向客户收取无需退回的初始费的合同</w:t>
      </w:r>
    </w:p>
    <w:p w:rsidR="00BE788E" w:rsidRPr="004E7FBF" w:rsidRDefault="00BE788E" w:rsidP="004E7FBF">
      <w:pPr>
        <w:pStyle w:val="a3"/>
        <w:spacing w:before="0" w:beforeAutospacing="0" w:after="0" w:afterAutospacing="0"/>
        <w:ind w:firstLine="420"/>
        <w:jc w:val="both"/>
        <w:divId w:val="6292361"/>
        <w:rPr>
          <w:sz w:val="18"/>
          <w:szCs w:val="18"/>
        </w:rPr>
      </w:pPr>
      <w:r>
        <w:rPr>
          <w:rFonts w:hint="eastAsia"/>
          <w:sz w:val="18"/>
          <w:szCs w:val="18"/>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037019" w:rsidRDefault="00BE788E" w:rsidP="004E7FBF">
      <w:pPr>
        <w:pStyle w:val="a3"/>
        <w:spacing w:before="0" w:beforeAutospacing="0" w:after="0" w:afterAutospacing="0"/>
        <w:ind w:firstLine="420"/>
        <w:jc w:val="both"/>
        <w:rPr>
          <w:sz w:val="18"/>
          <w:szCs w:val="18"/>
        </w:rPr>
      </w:pPr>
      <w:r>
        <w:rPr>
          <w:sz w:val="18"/>
          <w:szCs w:val="18"/>
        </w:rPr>
        <w:t>同类业务采用不同经营模式涉及不同收入确认方式及计量方法的情况</w:t>
      </w:r>
    </w:p>
    <w:p w:rsidR="00BE788E" w:rsidRDefault="00BE788E" w:rsidP="004E7FBF">
      <w:pPr>
        <w:pStyle w:val="a3"/>
        <w:spacing w:before="0" w:beforeAutospacing="0" w:after="0" w:afterAutospacing="0"/>
        <w:ind w:firstLine="420"/>
        <w:jc w:val="both"/>
        <w:divId w:val="65175763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63" w:name="_Toc989052"/>
      <w:r>
        <w:rPr>
          <w:rFonts w:ascii="宋体" w:hAnsi="宋体" w:cs="宋体"/>
          <w:b/>
          <w:bCs/>
        </w:rPr>
        <w:t>38、合同成本</w:t>
      </w:r>
      <w:bookmarkEnd w:id="163"/>
    </w:p>
    <w:p w:rsidR="00BE788E" w:rsidRDefault="00BE788E" w:rsidP="00F34484">
      <w:pPr>
        <w:widowControl/>
        <w:numPr>
          <w:ilvl w:val="3"/>
          <w:numId w:val="86"/>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t>合同履约成本</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本公司对于为履行合同发生的成本，不属于除收入准则外的其他企业会计准则范围且同时满足下列条件的作为合同履约成本确认为一项资产：</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（1）</w:t>
      </w:r>
      <w:proofErr w:type="gramStart"/>
      <w:r>
        <w:rPr>
          <w:rFonts w:hint="eastAsia"/>
          <w:sz w:val="18"/>
          <w:szCs w:val="18"/>
        </w:rPr>
        <w:t>该成本</w:t>
      </w:r>
      <w:proofErr w:type="gramEnd"/>
      <w:r>
        <w:rPr>
          <w:rFonts w:hint="eastAsia"/>
          <w:sz w:val="18"/>
          <w:szCs w:val="18"/>
        </w:rPr>
        <w:t>与一份当前或预期取得的合同直接相关，包括直接人工、直接材料、制造费用（或类似费用）、明确由客户承担的成本以及仅因该合同而发生的其他成本；</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w:t>
      </w:r>
      <w:r w:rsidRPr="004E7FBF">
        <w:rPr>
          <w:sz w:val="18"/>
          <w:szCs w:val="18"/>
        </w:rPr>
        <w:t>2</w:t>
      </w:r>
      <w:r>
        <w:rPr>
          <w:rFonts w:hint="eastAsia"/>
          <w:sz w:val="18"/>
          <w:szCs w:val="18"/>
        </w:rPr>
        <w:t>）</w:t>
      </w:r>
      <w:proofErr w:type="gramStart"/>
      <w:r>
        <w:rPr>
          <w:rFonts w:hint="eastAsia"/>
          <w:sz w:val="18"/>
          <w:szCs w:val="18"/>
        </w:rPr>
        <w:t>该成本</w:t>
      </w:r>
      <w:proofErr w:type="gramEnd"/>
      <w:r>
        <w:rPr>
          <w:rFonts w:hint="eastAsia"/>
          <w:sz w:val="18"/>
          <w:szCs w:val="18"/>
        </w:rPr>
        <w:t>增加了企业未来用于履行履约义务的资源；</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w:t>
      </w:r>
      <w:r w:rsidRPr="004E7FBF">
        <w:rPr>
          <w:sz w:val="18"/>
          <w:szCs w:val="18"/>
        </w:rPr>
        <w:t>3</w:t>
      </w:r>
      <w:r>
        <w:rPr>
          <w:rFonts w:hint="eastAsia"/>
          <w:sz w:val="18"/>
          <w:szCs w:val="18"/>
        </w:rPr>
        <w:t>）</w:t>
      </w:r>
      <w:proofErr w:type="gramStart"/>
      <w:r>
        <w:rPr>
          <w:rFonts w:hint="eastAsia"/>
          <w:sz w:val="18"/>
          <w:szCs w:val="18"/>
        </w:rPr>
        <w:t>该成本</w:t>
      </w:r>
      <w:proofErr w:type="gramEnd"/>
      <w:r>
        <w:rPr>
          <w:rFonts w:hint="eastAsia"/>
          <w:sz w:val="18"/>
          <w:szCs w:val="18"/>
        </w:rPr>
        <w:t>预期能够收回。</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该资产根据其初始确认时摊销期限是否超过一个正常营业周期在存货或其他非流动资产中列报。</w:t>
      </w:r>
    </w:p>
    <w:p w:rsidR="00BE788E" w:rsidRDefault="00BE788E" w:rsidP="00F34484">
      <w:pPr>
        <w:widowControl/>
        <w:numPr>
          <w:ilvl w:val="3"/>
          <w:numId w:val="87"/>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t>合同取得成本</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本公司为取得合同发生的增量成本预期能够收回的，作为合同取得成本确认为一项资产。增量成本是指本公司不取得合同就不会发生的成本，如销售佣金等。对于摊销期限不超过一年的，在发生时计入当期损益。</w:t>
      </w:r>
    </w:p>
    <w:p w:rsidR="00BE788E" w:rsidRDefault="00BE788E" w:rsidP="00F34484">
      <w:pPr>
        <w:widowControl/>
        <w:numPr>
          <w:ilvl w:val="3"/>
          <w:numId w:val="88"/>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t>合同成本摊销</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上述与合同成本有关的资产，采用与该资产相关的商品或服务收入确认相同的基础，在履约义务履行的时点或按照履约义务的履约进度进行摊销，计入当期损益。</w:t>
      </w:r>
    </w:p>
    <w:p w:rsidR="00BE788E" w:rsidRDefault="00BE788E" w:rsidP="00F34484">
      <w:pPr>
        <w:widowControl/>
        <w:numPr>
          <w:ilvl w:val="3"/>
          <w:numId w:val="89"/>
        </w:numPr>
        <w:tabs>
          <w:tab w:val="clear" w:pos="2880"/>
          <w:tab w:val="num" w:pos="426"/>
        </w:tabs>
        <w:spacing w:before="100" w:beforeAutospacing="1" w:after="100" w:afterAutospacing="1"/>
        <w:ind w:left="0" w:firstLine="426"/>
        <w:divId w:val="1531917671"/>
        <w:rPr>
          <w:sz w:val="18"/>
          <w:szCs w:val="18"/>
        </w:rPr>
      </w:pPr>
      <w:r>
        <w:rPr>
          <w:rFonts w:hint="eastAsia"/>
          <w:sz w:val="18"/>
          <w:szCs w:val="18"/>
        </w:rPr>
        <w:lastRenderedPageBreak/>
        <w:t>合同成本减值</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上述与合同成本有关的资产，账面价值高于本公司因转让与该资产相关的商品预期能够取得剩余对价与为转让</w:t>
      </w:r>
      <w:proofErr w:type="gramStart"/>
      <w:r>
        <w:rPr>
          <w:rFonts w:hint="eastAsia"/>
          <w:sz w:val="18"/>
          <w:szCs w:val="18"/>
        </w:rPr>
        <w:t>该相关</w:t>
      </w:r>
      <w:proofErr w:type="gramEnd"/>
      <w:r>
        <w:rPr>
          <w:rFonts w:hint="eastAsia"/>
          <w:sz w:val="18"/>
          <w:szCs w:val="18"/>
        </w:rPr>
        <w:t>商品估计将要发生的成本的差额的，超出部分应当计提减值准备，并确认为资产减值损失。</w:t>
      </w:r>
    </w:p>
    <w:p w:rsidR="00BE788E" w:rsidRPr="004E7FBF" w:rsidRDefault="00BE788E" w:rsidP="004E7FBF">
      <w:pPr>
        <w:pStyle w:val="a3"/>
        <w:spacing w:before="0" w:beforeAutospacing="0" w:after="0" w:afterAutospacing="0"/>
        <w:ind w:firstLine="420"/>
        <w:jc w:val="both"/>
        <w:divId w:val="1531917671"/>
        <w:rPr>
          <w:sz w:val="18"/>
          <w:szCs w:val="18"/>
        </w:rPr>
      </w:pPr>
      <w:r>
        <w:rPr>
          <w:rFonts w:hint="eastAsia"/>
          <w:sz w:val="18"/>
          <w:szCs w:val="18"/>
        </w:rPr>
        <w:t>计提减值准备后，如果以前期间减值的因素发生变化，使得上述两项差额高于该资产账面价值的，转回原已计提的资产减值准备，并计入当期损益，但转回后的资产账面价值不超过假定不计提减值准备情况下该资产在</w:t>
      </w:r>
      <w:proofErr w:type="gramStart"/>
      <w:r>
        <w:rPr>
          <w:rFonts w:hint="eastAsia"/>
          <w:sz w:val="18"/>
          <w:szCs w:val="18"/>
        </w:rPr>
        <w:t>转回日</w:t>
      </w:r>
      <w:proofErr w:type="gramEnd"/>
      <w:r>
        <w:rPr>
          <w:rFonts w:hint="eastAsia"/>
          <w:sz w:val="18"/>
          <w:szCs w:val="18"/>
        </w:rPr>
        <w:t>的账面价值。</w:t>
      </w:r>
    </w:p>
    <w:p w:rsidR="00037019" w:rsidRDefault="00BE788E">
      <w:pPr>
        <w:pStyle w:val="3"/>
        <w:spacing w:line="280" w:lineRule="exact"/>
        <w:jc w:val="left"/>
        <w:rPr>
          <w:rFonts w:ascii="宋体" w:hAnsi="宋体" w:cs="宋体"/>
          <w:b/>
          <w:bCs/>
        </w:rPr>
      </w:pPr>
      <w:bookmarkStart w:id="164" w:name="_Toc989053"/>
      <w:r>
        <w:rPr>
          <w:rFonts w:ascii="宋体" w:hAnsi="宋体" w:cs="宋体"/>
          <w:b/>
          <w:bCs/>
        </w:rPr>
        <w:t>39、政府补助</w:t>
      </w:r>
      <w:bookmarkEnd w:id="164"/>
    </w:p>
    <w:p w:rsidR="00BE788E" w:rsidRDefault="00BE788E" w:rsidP="00F34484">
      <w:pPr>
        <w:widowControl/>
        <w:numPr>
          <w:ilvl w:val="0"/>
          <w:numId w:val="90"/>
        </w:numPr>
        <w:spacing w:before="100" w:beforeAutospacing="1" w:after="100" w:afterAutospacing="1"/>
        <w:divId w:val="49912419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类型</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对于政府文件未明确补助对象的政府补助，公司根据实际补助对象划分为与资产相关的政府补助或与收益相关的政府补助，相关判断依据说明详见附注五、注释</w:t>
      </w:r>
      <w:r w:rsidRPr="004E7FBF">
        <w:rPr>
          <w:sz w:val="18"/>
          <w:szCs w:val="18"/>
        </w:rPr>
        <w:t>37.</w:t>
      </w:r>
      <w:r>
        <w:rPr>
          <w:rFonts w:hint="eastAsia"/>
          <w:sz w:val="18"/>
          <w:szCs w:val="18"/>
        </w:rPr>
        <w:t>递延收益、注释</w:t>
      </w:r>
      <w:r w:rsidRPr="004E7FBF">
        <w:rPr>
          <w:sz w:val="18"/>
          <w:szCs w:val="18"/>
        </w:rPr>
        <w:t>50.</w:t>
      </w:r>
      <w:r>
        <w:rPr>
          <w:rFonts w:hint="eastAsia"/>
          <w:sz w:val="18"/>
          <w:szCs w:val="18"/>
        </w:rPr>
        <w:t>其他收益。</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与资产相关的政府补助，是指本公司取得的、用于购建或以其他方式形成长期资产的政府补助。与收益相关的政府补助，是指除与资产相关的政府补助之外的政府补助。</w:t>
      </w:r>
    </w:p>
    <w:p w:rsidR="00BE788E" w:rsidRDefault="00BE788E" w:rsidP="00F34484">
      <w:pPr>
        <w:widowControl/>
        <w:numPr>
          <w:ilvl w:val="0"/>
          <w:numId w:val="91"/>
        </w:numPr>
        <w:spacing w:before="100" w:beforeAutospacing="1" w:after="100" w:afterAutospacing="1"/>
        <w:divId w:val="49912419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政府补助的确认</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对期末有证据表明公司能够符合财政扶持政策规定的相关条件且预计能够收到财政扶持资金的，按应收金额确认政府补助。除此之外，政府补助均在实际收到时确认。</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政府补助为货币性资产的，按照收到或应收的金额计量。政府补助为非货币性资产的，按照公允价值计量；公允价值不能够可靠取得的，按照名义金额（人民币</w:t>
      </w:r>
      <w:r w:rsidRPr="004E7FBF">
        <w:rPr>
          <w:sz w:val="18"/>
          <w:szCs w:val="18"/>
        </w:rPr>
        <w:t>1</w:t>
      </w:r>
      <w:r>
        <w:rPr>
          <w:rFonts w:hint="eastAsia"/>
          <w:sz w:val="18"/>
          <w:szCs w:val="18"/>
        </w:rPr>
        <w:t>元）计量。按照名义金额计量的政府补助，直接计入当期损益。</w:t>
      </w:r>
    </w:p>
    <w:p w:rsidR="00BE788E" w:rsidRDefault="00BE788E" w:rsidP="00F34484">
      <w:pPr>
        <w:widowControl/>
        <w:numPr>
          <w:ilvl w:val="0"/>
          <w:numId w:val="92"/>
        </w:numPr>
        <w:spacing w:before="100" w:beforeAutospacing="1" w:after="100" w:afterAutospacing="1"/>
        <w:divId w:val="49912419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BE788E" w:rsidRPr="004E7FBF" w:rsidRDefault="00BE788E" w:rsidP="004E7FBF">
      <w:pPr>
        <w:pStyle w:val="a3"/>
        <w:spacing w:before="0" w:beforeAutospacing="0" w:after="0" w:afterAutospacing="0"/>
        <w:ind w:firstLine="420"/>
        <w:jc w:val="both"/>
        <w:divId w:val="499124195"/>
        <w:rPr>
          <w:sz w:val="18"/>
          <w:szCs w:val="18"/>
        </w:rPr>
      </w:pPr>
      <w:r w:rsidRPr="004E7FBF">
        <w:rPr>
          <w:sz w:val="18"/>
          <w:szCs w:val="18"/>
        </w:rPr>
        <w:t xml:space="preserve">    </w:t>
      </w:r>
      <w:r>
        <w:rPr>
          <w:rFonts w:hint="eastAsia"/>
          <w:sz w:val="18"/>
          <w:szCs w:val="18"/>
        </w:rPr>
        <w:t>与资产相关的政府补助，应当冲减相关资产的账面价值或</w:t>
      </w:r>
      <w:proofErr w:type="gramStart"/>
      <w:r>
        <w:rPr>
          <w:rFonts w:hint="eastAsia"/>
          <w:sz w:val="18"/>
          <w:szCs w:val="18"/>
        </w:rPr>
        <w:t>确认为递延</w:t>
      </w:r>
      <w:proofErr w:type="gramEnd"/>
      <w:r>
        <w:rPr>
          <w:rFonts w:hint="eastAsia"/>
          <w:sz w:val="18"/>
          <w:szCs w:val="18"/>
        </w:rPr>
        <w:t>收益。与资产相关的政府补助</w:t>
      </w:r>
      <w:proofErr w:type="gramStart"/>
      <w:r>
        <w:rPr>
          <w:rFonts w:hint="eastAsia"/>
          <w:sz w:val="18"/>
          <w:szCs w:val="18"/>
        </w:rPr>
        <w:t>确认为递延</w:t>
      </w:r>
      <w:proofErr w:type="gramEnd"/>
      <w:r>
        <w:rPr>
          <w:rFonts w:hint="eastAsia"/>
          <w:sz w:val="18"/>
          <w:szCs w:val="18"/>
        </w:rPr>
        <w:t>收益的，在所建造或购买资产使用寿命内按照合理、系统的方法分期计入损益。</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与收益相关的政府补助，用于补偿企业以后期间的相关费用或损失的，</w:t>
      </w:r>
      <w:proofErr w:type="gramStart"/>
      <w:r>
        <w:rPr>
          <w:rFonts w:hint="eastAsia"/>
          <w:sz w:val="18"/>
          <w:szCs w:val="18"/>
        </w:rPr>
        <w:t>确认为递延</w:t>
      </w:r>
      <w:proofErr w:type="gramEnd"/>
      <w:r>
        <w:rPr>
          <w:rFonts w:hint="eastAsia"/>
          <w:sz w:val="18"/>
          <w:szCs w:val="18"/>
        </w:rPr>
        <w:t>收益，在确认相关费用或损失的期间计入当期损益或冲减相关成本；用于补偿企业已发生的相关费用或损失的，取得时直接计入当期损益或冲减相关成本。</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与企业日常活动相关的政府补助计入其他收益或冲减相关成本费用；与企业日常活动无关的政府补助计入营业外收支。</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BE788E" w:rsidRPr="004E7FBF" w:rsidRDefault="00BE788E" w:rsidP="004E7FBF">
      <w:pPr>
        <w:pStyle w:val="a3"/>
        <w:spacing w:before="0" w:beforeAutospacing="0" w:after="0" w:afterAutospacing="0"/>
        <w:ind w:firstLine="420"/>
        <w:jc w:val="both"/>
        <w:divId w:val="499124195"/>
        <w:rPr>
          <w:sz w:val="18"/>
          <w:szCs w:val="18"/>
        </w:rPr>
      </w:pPr>
      <w:r>
        <w:rPr>
          <w:rFonts w:hint="eastAsia"/>
          <w:sz w:val="18"/>
          <w:szCs w:val="18"/>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037019" w:rsidRDefault="00BE788E">
      <w:pPr>
        <w:pStyle w:val="3"/>
        <w:spacing w:line="280" w:lineRule="exact"/>
        <w:jc w:val="left"/>
        <w:rPr>
          <w:rFonts w:ascii="宋体" w:hAnsi="宋体" w:cs="宋体"/>
          <w:b/>
          <w:bCs/>
        </w:rPr>
      </w:pPr>
      <w:bookmarkStart w:id="165" w:name="_Toc989054"/>
      <w:r>
        <w:rPr>
          <w:rFonts w:ascii="宋体" w:hAnsi="宋体" w:cs="宋体"/>
          <w:b/>
          <w:bCs/>
        </w:rPr>
        <w:lastRenderedPageBreak/>
        <w:t>40、递延所得税资产/递延所得税负债</w:t>
      </w:r>
      <w:bookmarkEnd w:id="165"/>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递延所得税资产和递延所得税负债根据资产和负债的计税基础与其账面价值的差额</w:t>
      </w:r>
      <w:r w:rsidRPr="004E7FBF">
        <w:rPr>
          <w:sz w:val="18"/>
          <w:szCs w:val="18"/>
        </w:rPr>
        <w:t>(</w:t>
      </w:r>
      <w:r>
        <w:rPr>
          <w:rFonts w:hint="eastAsia"/>
          <w:sz w:val="18"/>
          <w:szCs w:val="18"/>
        </w:rPr>
        <w:t>暂时性差异</w:t>
      </w:r>
      <w:r w:rsidRPr="004E7FBF">
        <w:rPr>
          <w:sz w:val="18"/>
          <w:szCs w:val="18"/>
        </w:rPr>
        <w:t>)</w:t>
      </w:r>
      <w:r>
        <w:rPr>
          <w:rFonts w:hint="eastAsia"/>
          <w:sz w:val="18"/>
          <w:szCs w:val="18"/>
        </w:rPr>
        <w:t>计算确认。于资产负债表日，递延所得税资产和递延所得税负债，按照预期收回该资产或清偿该负债期间的适用税率计量。</w:t>
      </w:r>
    </w:p>
    <w:p w:rsidR="00BE788E" w:rsidRDefault="00BE788E" w:rsidP="00F34484">
      <w:pPr>
        <w:widowControl/>
        <w:numPr>
          <w:ilvl w:val="0"/>
          <w:numId w:val="93"/>
        </w:numPr>
        <w:spacing w:before="100" w:beforeAutospacing="1" w:after="100" w:afterAutospacing="1"/>
        <w:divId w:val="1534921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确认递延所得税资产的依据</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sidRPr="004E7FBF">
        <w:rPr>
          <w:sz w:val="18"/>
          <w:szCs w:val="18"/>
        </w:rPr>
        <w:t>1</w:t>
      </w:r>
      <w:r>
        <w:rPr>
          <w:rFonts w:hint="eastAsia"/>
          <w:sz w:val="18"/>
          <w:szCs w:val="18"/>
        </w:rPr>
        <w:t>）该交易不是企业合并；（</w:t>
      </w:r>
      <w:r w:rsidRPr="004E7FBF">
        <w:rPr>
          <w:sz w:val="18"/>
          <w:szCs w:val="18"/>
        </w:rPr>
        <w:t>2</w:t>
      </w:r>
      <w:r>
        <w:rPr>
          <w:rFonts w:hint="eastAsia"/>
          <w:sz w:val="18"/>
          <w:szCs w:val="18"/>
        </w:rPr>
        <w:t>）交易发生时既不影响会计利润也不影响应纳税所得额或可抵扣亏损。</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BE788E" w:rsidRDefault="00BE788E" w:rsidP="00F34484">
      <w:pPr>
        <w:widowControl/>
        <w:numPr>
          <w:ilvl w:val="0"/>
          <w:numId w:val="94"/>
        </w:numPr>
        <w:spacing w:before="100" w:beforeAutospacing="1" w:after="100" w:afterAutospacing="1"/>
        <w:divId w:val="1534921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确认递延所得税负债的依据</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公司将当期与以前期间应交未交的应纳税暂时性差异</w:t>
      </w:r>
      <w:proofErr w:type="gramStart"/>
      <w:r>
        <w:rPr>
          <w:rFonts w:hint="eastAsia"/>
          <w:sz w:val="18"/>
          <w:szCs w:val="18"/>
        </w:rPr>
        <w:t>确认为递延</w:t>
      </w:r>
      <w:proofErr w:type="gramEnd"/>
      <w:r>
        <w:rPr>
          <w:rFonts w:hint="eastAsia"/>
          <w:sz w:val="18"/>
          <w:szCs w:val="18"/>
        </w:rPr>
        <w:t>所得税负债。但不包括：</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1</w:t>
      </w:r>
      <w:r>
        <w:rPr>
          <w:rFonts w:hint="eastAsia"/>
          <w:sz w:val="18"/>
          <w:szCs w:val="18"/>
        </w:rPr>
        <w:t>）商誉的初始确认所形成的暂时性差异；</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2</w:t>
      </w:r>
      <w:r>
        <w:rPr>
          <w:rFonts w:hint="eastAsia"/>
          <w:sz w:val="18"/>
          <w:szCs w:val="18"/>
        </w:rPr>
        <w:t>）非企业合并形成的交易或事项，且该交易或事项发生时既不影响会计利润，也不影响应纳税所得额（或可抵扣亏损）所形成的暂时性差异；</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3</w:t>
      </w:r>
      <w:r>
        <w:rPr>
          <w:rFonts w:hint="eastAsia"/>
          <w:sz w:val="18"/>
          <w:szCs w:val="18"/>
        </w:rPr>
        <w:t>）对于与子公司、联营企业投资相关的应纳税暂时性差异，该暂时性差异转回的时间能够控制并且该暂时性差异在可预见的未来很可能不会转回。</w:t>
      </w:r>
    </w:p>
    <w:p w:rsidR="00BE788E" w:rsidRDefault="00BE788E" w:rsidP="00F34484">
      <w:pPr>
        <w:widowControl/>
        <w:numPr>
          <w:ilvl w:val="0"/>
          <w:numId w:val="95"/>
        </w:numPr>
        <w:spacing w:before="100" w:beforeAutospacing="1" w:after="100" w:afterAutospacing="1"/>
        <w:divId w:val="1534921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同时满足下列条件时，</w:t>
      </w:r>
      <w:proofErr w:type="gramStart"/>
      <w:r>
        <w:rPr>
          <w:rFonts w:hint="eastAsia"/>
          <w:sz w:val="18"/>
          <w:szCs w:val="18"/>
        </w:rPr>
        <w:t>将递延</w:t>
      </w:r>
      <w:proofErr w:type="gramEnd"/>
      <w:r>
        <w:rPr>
          <w:rFonts w:hint="eastAsia"/>
          <w:sz w:val="18"/>
          <w:szCs w:val="18"/>
        </w:rPr>
        <w:t>所得税资产及递延所得税负债以</w:t>
      </w:r>
      <w:proofErr w:type="gramStart"/>
      <w:r>
        <w:rPr>
          <w:rFonts w:hint="eastAsia"/>
          <w:sz w:val="18"/>
          <w:szCs w:val="18"/>
        </w:rPr>
        <w:t>抵销</w:t>
      </w:r>
      <w:proofErr w:type="gramEnd"/>
      <w:r>
        <w:rPr>
          <w:rFonts w:hint="eastAsia"/>
          <w:sz w:val="18"/>
          <w:szCs w:val="18"/>
        </w:rPr>
        <w:t>后的净额列示</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1</w:t>
      </w:r>
      <w:r>
        <w:rPr>
          <w:rFonts w:hint="eastAsia"/>
          <w:sz w:val="18"/>
          <w:szCs w:val="18"/>
        </w:rPr>
        <w:t>）企业拥有以净额结算当期所得税资产及当期所得税负债的法定权利；</w:t>
      </w:r>
    </w:p>
    <w:p w:rsidR="00BE788E" w:rsidRPr="004E7FBF" w:rsidRDefault="00BE788E" w:rsidP="004E7FBF">
      <w:pPr>
        <w:pStyle w:val="a3"/>
        <w:spacing w:before="0" w:beforeAutospacing="0" w:after="0" w:afterAutospacing="0"/>
        <w:ind w:firstLine="420"/>
        <w:jc w:val="both"/>
        <w:divId w:val="15349217"/>
        <w:rPr>
          <w:sz w:val="18"/>
          <w:szCs w:val="18"/>
        </w:rPr>
      </w:pPr>
      <w:r>
        <w:rPr>
          <w:rFonts w:hint="eastAsia"/>
          <w:sz w:val="18"/>
          <w:szCs w:val="18"/>
        </w:rPr>
        <w:t>（</w:t>
      </w:r>
      <w:r w:rsidRPr="004E7FBF">
        <w:rPr>
          <w:sz w:val="18"/>
          <w:szCs w:val="18"/>
        </w:rPr>
        <w:t>2</w:t>
      </w:r>
      <w:r>
        <w:rPr>
          <w:rFonts w:hint="eastAsia"/>
          <w:sz w:val="18"/>
          <w:szCs w:val="18"/>
        </w:rPr>
        <w:t>）递延所得税资产和递延所得税负债是与同</w:t>
      </w:r>
      <w:proofErr w:type="gramStart"/>
      <w:r>
        <w:rPr>
          <w:rFonts w:hint="eastAsia"/>
          <w:sz w:val="18"/>
          <w:szCs w:val="18"/>
        </w:rPr>
        <w:t>一税收</w:t>
      </w:r>
      <w:proofErr w:type="gramEnd"/>
      <w:r>
        <w:rPr>
          <w:rFonts w:hint="eastAsia"/>
          <w:sz w:val="18"/>
          <w:szCs w:val="18"/>
        </w:rPr>
        <w:t>征管部门对同一纳税主体征收的所得税相关或者对不同的纳税主体相关，但在未来每一具有重要性的递延所得税资产和递延所得税负债转回的期间内，涉及的纳税主体</w:t>
      </w:r>
      <w:proofErr w:type="gramStart"/>
      <w:r>
        <w:rPr>
          <w:rFonts w:hint="eastAsia"/>
          <w:sz w:val="18"/>
          <w:szCs w:val="18"/>
        </w:rPr>
        <w:t>体</w:t>
      </w:r>
      <w:proofErr w:type="gramEnd"/>
      <w:r>
        <w:rPr>
          <w:rFonts w:hint="eastAsia"/>
          <w:sz w:val="18"/>
          <w:szCs w:val="18"/>
        </w:rPr>
        <w:t xml:space="preserve">意图以净额结算当期所得税资产及当期所得税负债或是同时取得资产、清偿债务。 </w:t>
      </w:r>
    </w:p>
    <w:p w:rsidR="00037019" w:rsidRDefault="00BE788E">
      <w:pPr>
        <w:pStyle w:val="3"/>
        <w:spacing w:line="280" w:lineRule="exact"/>
        <w:jc w:val="left"/>
        <w:rPr>
          <w:rFonts w:ascii="宋体" w:hAnsi="宋体" w:cs="宋体"/>
          <w:b/>
          <w:bCs/>
        </w:rPr>
      </w:pPr>
      <w:bookmarkStart w:id="166" w:name="_Toc989055"/>
      <w:r>
        <w:rPr>
          <w:rFonts w:ascii="宋体" w:hAnsi="宋体" w:cs="宋体"/>
          <w:b/>
          <w:bCs/>
        </w:rPr>
        <w:t>41、租赁</w:t>
      </w:r>
      <w:bookmarkEnd w:id="166"/>
    </w:p>
    <w:p w:rsidR="00037019" w:rsidRDefault="00BE788E">
      <w:pPr>
        <w:keepNext/>
        <w:keepLines/>
        <w:spacing w:before="300" w:after="300" w:line="280" w:lineRule="exact"/>
        <w:outlineLvl w:val="3"/>
        <w:rPr>
          <w:rFonts w:ascii="宋体" w:eastAsia="宋体" w:hAnsi="宋体" w:cs="宋体"/>
          <w:b/>
          <w:bCs/>
          <w:szCs w:val="21"/>
        </w:rPr>
      </w:pPr>
      <w:bookmarkStart w:id="167" w:name="_Toc989056"/>
      <w:r>
        <w:rPr>
          <w:rFonts w:ascii="宋体" w:eastAsia="宋体" w:hAnsi="宋体" w:cs="宋体"/>
          <w:b/>
          <w:bCs/>
          <w:szCs w:val="21"/>
        </w:rPr>
        <w:t>（1） 作为承租方租赁的会计处理方法</w:t>
      </w:r>
      <w:bookmarkEnd w:id="167"/>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在租赁期开始日，除应用简化处理的短期租赁和低价值资产租赁外，本公司对租赁确认使用权资产和租赁负债。</w:t>
      </w:r>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（1）短期租赁和低价值资产租赁</w:t>
      </w:r>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短期租赁是指不包含购买选择权且租赁期不超过12个月的租赁。低价值资产租赁是指单项租赁资产为全新资产时价值较低的租赁，主要包括员工宿舍租赁。</w:t>
      </w:r>
    </w:p>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本公司对以下短期租赁和低价值资产租赁不确认使用权资产和租赁负债，相关租赁付款额在租赁期内各个期间按照直线法计入相关资产成本或当期损益。</w:t>
      </w:r>
    </w:p>
    <w:tbl>
      <w:tblPr>
        <w:tblW w:w="9097"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8|0|desc|||0|1"/>
      </w:tblPr>
      <w:tblGrid>
        <w:gridCol w:w="1844"/>
        <w:gridCol w:w="7253"/>
      </w:tblGrid>
      <w:tr w:rsidR="00BE788E">
        <w:trPr>
          <w:divId w:val="879167918"/>
          <w:trHeight w:val="340"/>
          <w:jc w:val="center"/>
        </w:trPr>
        <w:tc>
          <w:tcPr>
            <w:tcW w:w="1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项目</w:t>
            </w:r>
          </w:p>
        </w:tc>
        <w:tc>
          <w:tcPr>
            <w:tcW w:w="7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采用简化处理的租赁资产类别</w:t>
            </w:r>
          </w:p>
        </w:tc>
      </w:tr>
      <w:tr w:rsidR="00BE788E">
        <w:trPr>
          <w:divId w:val="879167918"/>
          <w:trHeight w:val="340"/>
          <w:jc w:val="center"/>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短期租赁</w:t>
            </w:r>
          </w:p>
        </w:tc>
        <w:tc>
          <w:tcPr>
            <w:tcW w:w="7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788E" w:rsidRDefault="00BE788E">
            <w:pPr>
              <w:pStyle w:val="a3"/>
              <w:spacing w:before="0" w:beforeAutospacing="0" w:after="0" w:afterAutospacing="0"/>
              <w:jc w:val="center"/>
            </w:pPr>
            <w:r>
              <w:rPr>
                <w:rFonts w:hint="eastAsia"/>
                <w:sz w:val="18"/>
                <w:szCs w:val="18"/>
              </w:rPr>
              <w:t>租赁期在1年及以下的租赁</w:t>
            </w:r>
          </w:p>
        </w:tc>
      </w:tr>
    </w:tbl>
    <w:p w:rsidR="00BE788E" w:rsidRPr="004E7FBF" w:rsidRDefault="00BE788E" w:rsidP="004E7FBF">
      <w:pPr>
        <w:pStyle w:val="a3"/>
        <w:spacing w:before="0" w:beforeAutospacing="0" w:after="0" w:afterAutospacing="0"/>
        <w:ind w:firstLine="420"/>
        <w:jc w:val="both"/>
        <w:divId w:val="879167918"/>
        <w:rPr>
          <w:sz w:val="18"/>
          <w:szCs w:val="18"/>
        </w:rPr>
      </w:pPr>
      <w:r>
        <w:rPr>
          <w:rFonts w:hint="eastAsia"/>
          <w:sz w:val="18"/>
          <w:szCs w:val="18"/>
        </w:rPr>
        <w:t>本公司对除上述以外的短期租赁和低价值资产租赁确认使用权资产和租赁负债。</w:t>
      </w:r>
    </w:p>
    <w:p w:rsidR="00BE788E" w:rsidRDefault="00BE788E">
      <w:pPr>
        <w:pStyle w:val="a3"/>
        <w:spacing w:before="0" w:beforeAutospacing="0" w:after="0" w:afterAutospacing="0" w:line="360" w:lineRule="auto"/>
        <w:ind w:firstLine="420"/>
        <w:divId w:val="879167918"/>
      </w:pPr>
      <w:r>
        <w:rPr>
          <w:rFonts w:hint="eastAsia"/>
          <w:sz w:val="18"/>
          <w:szCs w:val="18"/>
        </w:rPr>
        <w:t>（2）使用权资产</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lastRenderedPageBreak/>
        <w:t>本公司对使用权资产按照成本进行初始计量，</w:t>
      </w:r>
      <w:proofErr w:type="gramStart"/>
      <w:r w:rsidRPr="004E7FBF">
        <w:rPr>
          <w:rFonts w:hint="eastAsia"/>
          <w:sz w:val="18"/>
          <w:szCs w:val="18"/>
        </w:rPr>
        <w:t>该成本</w:t>
      </w:r>
      <w:proofErr w:type="gramEnd"/>
      <w:r w:rsidRPr="004E7FBF">
        <w:rPr>
          <w:rFonts w:hint="eastAsia"/>
          <w:sz w:val="18"/>
          <w:szCs w:val="18"/>
        </w:rPr>
        <w:t>包括：</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租赁负债的初始计量金额；</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在租赁期开始日或之前支付的租赁付款额，存在租赁激励的，扣除已享受的租赁激励相关金额；</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本公司发生的初始直接费用；</w:t>
      </w:r>
    </w:p>
    <w:p w:rsidR="00BE788E" w:rsidRDefault="00BE788E" w:rsidP="00F34484">
      <w:pPr>
        <w:widowControl/>
        <w:numPr>
          <w:ilvl w:val="5"/>
          <w:numId w:val="96"/>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本公司为拆卸及移除租赁资产、复原租赁资产所在场地或将租赁资产恢复至租赁条款约定状态预计将发生的成本（不包括为生产存货而发生的成本）。</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在租赁期开始日后，本公司采用成本模式对使用权资产进行后续计量。</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能够合理确定租赁期届满时取得租赁资产所有权的，本公司在租赁资产剩余使用寿命内计提折旧。无法合理确定租赁期届满时能够取得租赁资产所有权的，本公司在租赁期与租赁资产剩余使用寿命两者孰短的期间内计提折旧。对计提了减值准备的使用权资产，则在未来期间按扣除减值准备后的账面价值参照上述原则计提折旧。</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本公司按照《企业会计准则第</w:t>
      </w:r>
      <w:r w:rsidRPr="004E7FBF">
        <w:rPr>
          <w:sz w:val="18"/>
          <w:szCs w:val="18"/>
        </w:rPr>
        <w:t>8</w:t>
      </w:r>
      <w:r w:rsidRPr="004E7FBF">
        <w:rPr>
          <w:rFonts w:hint="eastAsia"/>
          <w:sz w:val="18"/>
          <w:szCs w:val="18"/>
        </w:rPr>
        <w:t>号——资产减值》的规定来确定使用权资产是否已发生减值，并对已识别的减值损失进行会计处理。具体详见30.长期资产减值。</w:t>
      </w:r>
    </w:p>
    <w:p w:rsidR="00BE788E" w:rsidRDefault="00BE788E">
      <w:pPr>
        <w:pStyle w:val="a3"/>
        <w:spacing w:before="0" w:beforeAutospacing="0" w:after="0" w:afterAutospacing="0" w:line="360" w:lineRule="auto"/>
        <w:ind w:firstLine="420"/>
        <w:jc w:val="both"/>
        <w:divId w:val="879167918"/>
        <w:rPr>
          <w:rFonts w:ascii="Times New Roman" w:hAnsi="Times New Roman" w:cs="Times New Roman"/>
          <w:sz w:val="21"/>
          <w:szCs w:val="21"/>
        </w:rPr>
      </w:pPr>
      <w:r>
        <w:rPr>
          <w:rFonts w:cs="Times New Roman" w:hint="eastAsia"/>
          <w:sz w:val="18"/>
          <w:szCs w:val="18"/>
        </w:rPr>
        <w:t>（3）租赁负债</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本公司对租赁负债按照租赁期开始日尚未支付的租赁付款额的现值进行初始计量。在计算租赁付款额的现值时，本公司采用租赁内含利率作为折现率；无法确定租赁内含利率的，采用本公司增量借款利率作为折现率。租赁付款额包括：</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扣除租赁激励相关金额后的固定付款额及实质固定付款额；</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取决于指数或比率的可变租赁付款额；</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在本公司合理确定将行使该选择权的情况下，租赁付款额包括购买选择权的行权价格；</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在租赁</w:t>
      </w:r>
      <w:proofErr w:type="gramStart"/>
      <w:r>
        <w:rPr>
          <w:rFonts w:hint="eastAsia"/>
          <w:sz w:val="18"/>
          <w:szCs w:val="18"/>
        </w:rPr>
        <w:t>期反映</w:t>
      </w:r>
      <w:proofErr w:type="gramEnd"/>
      <w:r>
        <w:rPr>
          <w:rFonts w:hint="eastAsia"/>
          <w:sz w:val="18"/>
          <w:szCs w:val="18"/>
        </w:rPr>
        <w:t>出本公司将行使终止租赁选择权的情况下，租赁付款额包括行使终止租赁选择权需支付的款项；</w:t>
      </w:r>
    </w:p>
    <w:p w:rsidR="00BE788E" w:rsidRDefault="00BE788E" w:rsidP="00F34484">
      <w:pPr>
        <w:widowControl/>
        <w:numPr>
          <w:ilvl w:val="5"/>
          <w:numId w:val="97"/>
        </w:numPr>
        <w:tabs>
          <w:tab w:val="clear" w:pos="4320"/>
          <w:tab w:val="num" w:pos="426"/>
        </w:tabs>
        <w:spacing w:before="100" w:beforeAutospacing="1" w:after="100" w:afterAutospacing="1"/>
        <w:ind w:left="0" w:firstLine="426"/>
        <w:divId w:val="879167918"/>
        <w:rPr>
          <w:sz w:val="18"/>
          <w:szCs w:val="18"/>
        </w:rPr>
      </w:pPr>
      <w:r>
        <w:rPr>
          <w:rFonts w:hint="eastAsia"/>
          <w:sz w:val="18"/>
          <w:szCs w:val="18"/>
        </w:rPr>
        <w:t>根据本公司提供的担保余值预计应支付的款项。</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本公司按照固定的折现率计算租赁负债在租赁期内各期间的利息费用，并计入当期损益或相关资产成本。</w:t>
      </w:r>
    </w:p>
    <w:p w:rsidR="00BE788E" w:rsidRPr="004E7FBF" w:rsidRDefault="00BE788E" w:rsidP="004E7FBF">
      <w:pPr>
        <w:pStyle w:val="a3"/>
        <w:spacing w:before="0" w:beforeAutospacing="0" w:after="0" w:afterAutospacing="0"/>
        <w:ind w:firstLine="420"/>
        <w:jc w:val="both"/>
        <w:divId w:val="879167918"/>
        <w:rPr>
          <w:sz w:val="18"/>
          <w:szCs w:val="18"/>
        </w:rPr>
      </w:pPr>
      <w:r w:rsidRPr="004E7FBF">
        <w:rPr>
          <w:rFonts w:hint="eastAsia"/>
          <w:sz w:val="18"/>
          <w:szCs w:val="18"/>
        </w:rPr>
        <w:t>未纳入租赁负债计量的可变租赁付款额应当在实际发生时计入当期损益或相关资产成本。</w:t>
      </w:r>
    </w:p>
    <w:p w:rsidR="00037019" w:rsidRDefault="00BE788E">
      <w:pPr>
        <w:keepNext/>
        <w:keepLines/>
        <w:spacing w:before="300" w:after="300" w:line="280" w:lineRule="exact"/>
        <w:outlineLvl w:val="3"/>
        <w:rPr>
          <w:rFonts w:ascii="宋体" w:eastAsia="宋体" w:hAnsi="宋体" w:cs="宋体"/>
          <w:b/>
          <w:bCs/>
          <w:szCs w:val="21"/>
        </w:rPr>
      </w:pPr>
      <w:bookmarkStart w:id="168" w:name="_Toc989057"/>
      <w:r>
        <w:rPr>
          <w:rFonts w:ascii="宋体" w:eastAsia="宋体" w:hAnsi="宋体" w:cs="宋体"/>
          <w:b/>
          <w:bCs/>
          <w:szCs w:val="21"/>
        </w:rPr>
        <w:t>（2） 作为出租方租赁的会计处理方法</w:t>
      </w:r>
      <w:bookmarkEnd w:id="168"/>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租赁的分类</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本公司在租赁开始日将租赁分为融资租赁和经营租赁。融资租赁是指实质上转移了与租赁资产所有权有关的几乎全部风险和报酬的租赁，其所有权最终可能转移，也可能不转移。经营租赁是指除融资租赁以外的其他租赁。</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一项租赁存在下列一种或多种情形的，本公司通常分类为融资租赁：</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1）在租赁期届满时，租赁资产的所有权转移给承租人。</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2）承租人有购买租赁资产的选择权，所订立的购买价款与预计行使选择权时租赁资产的公允价值相比足够低，因而在租赁开始日就可以合理确定承租人将行使该选择权。</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3）资产的所有权虽然不转移，但租赁期占租赁资产使用寿命的大部分。</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4）在租赁开始日，</w:t>
      </w:r>
      <w:proofErr w:type="gramStart"/>
      <w:r>
        <w:rPr>
          <w:rFonts w:hint="eastAsia"/>
          <w:sz w:val="18"/>
          <w:szCs w:val="18"/>
        </w:rPr>
        <w:t>租赁收</w:t>
      </w:r>
      <w:proofErr w:type="gramEnd"/>
      <w:r>
        <w:rPr>
          <w:rFonts w:hint="eastAsia"/>
          <w:sz w:val="18"/>
          <w:szCs w:val="18"/>
        </w:rPr>
        <w:t>款额的现值几乎相当于租赁资产的公允价值。</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5）租赁资产性质特殊，如果不作较大改造，只有承租人才能使用。</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一项租赁存在下列一项或</w:t>
      </w:r>
      <w:proofErr w:type="gramStart"/>
      <w:r>
        <w:rPr>
          <w:rFonts w:hint="eastAsia"/>
          <w:sz w:val="18"/>
          <w:szCs w:val="18"/>
        </w:rPr>
        <w:t>多项迹象</w:t>
      </w:r>
      <w:proofErr w:type="gramEnd"/>
      <w:r>
        <w:rPr>
          <w:rFonts w:hint="eastAsia"/>
          <w:sz w:val="18"/>
          <w:szCs w:val="18"/>
        </w:rPr>
        <w:t>的，本公司也可能分类为融资租赁：</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1）若承租人撤销租赁，撤销租赁对出租人造成的损失由承租人承担。</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2）资产余值的公允价值波动所产生的利得或损失归属于承租人。</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3）承租人有能力以远低于市场水平的租金继续租赁至下一期间。</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（2）对融资租赁的会计处理</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lastRenderedPageBreak/>
        <w:t>在租赁期开始日，本公司对融资租赁确认应收融资租赁款，并终止确认融资租赁资产。</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应收融资租赁款初始计量时，以未担保余值和租赁期开始日尚未收到的</w:t>
      </w:r>
      <w:proofErr w:type="gramStart"/>
      <w:r>
        <w:rPr>
          <w:rFonts w:hint="eastAsia"/>
          <w:sz w:val="18"/>
          <w:szCs w:val="18"/>
        </w:rPr>
        <w:t>租赁收</w:t>
      </w:r>
      <w:proofErr w:type="gramEnd"/>
      <w:r>
        <w:rPr>
          <w:rFonts w:hint="eastAsia"/>
          <w:sz w:val="18"/>
          <w:szCs w:val="18"/>
        </w:rPr>
        <w:t>款额按照租赁内含利率折现的现值之和作为应收融资租赁款的入账价值。</w:t>
      </w:r>
      <w:proofErr w:type="gramStart"/>
      <w:r>
        <w:rPr>
          <w:rFonts w:hint="eastAsia"/>
          <w:sz w:val="18"/>
          <w:szCs w:val="18"/>
        </w:rPr>
        <w:t>租赁收</w:t>
      </w:r>
      <w:proofErr w:type="gramEnd"/>
      <w:r>
        <w:rPr>
          <w:rFonts w:hint="eastAsia"/>
          <w:sz w:val="18"/>
          <w:szCs w:val="18"/>
        </w:rPr>
        <w:t>款额包括：</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1）扣除租赁激励相关金额后的固定付款额及实质固定付款额；</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2）取决于指数或比率的可变租赁付款额；</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3）合理确定承租人将行使购买选择权的情况下，</w:t>
      </w:r>
      <w:proofErr w:type="gramStart"/>
      <w:r>
        <w:rPr>
          <w:rFonts w:hint="eastAsia"/>
          <w:sz w:val="18"/>
          <w:szCs w:val="18"/>
        </w:rPr>
        <w:t>租赁收</w:t>
      </w:r>
      <w:proofErr w:type="gramEnd"/>
      <w:r>
        <w:rPr>
          <w:rFonts w:hint="eastAsia"/>
          <w:sz w:val="18"/>
          <w:szCs w:val="18"/>
        </w:rPr>
        <w:t>款额包括购买选择权的行权价格；</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4）租赁</w:t>
      </w:r>
      <w:proofErr w:type="gramStart"/>
      <w:r>
        <w:rPr>
          <w:rFonts w:hint="eastAsia"/>
          <w:sz w:val="18"/>
          <w:szCs w:val="18"/>
        </w:rPr>
        <w:t>期反映</w:t>
      </w:r>
      <w:proofErr w:type="gramEnd"/>
      <w:r>
        <w:rPr>
          <w:rFonts w:hint="eastAsia"/>
          <w:sz w:val="18"/>
          <w:szCs w:val="18"/>
        </w:rPr>
        <w:t>出承租人将行使终止租赁选择权的情况下，</w:t>
      </w:r>
      <w:proofErr w:type="gramStart"/>
      <w:r>
        <w:rPr>
          <w:rFonts w:hint="eastAsia"/>
          <w:sz w:val="18"/>
          <w:szCs w:val="18"/>
        </w:rPr>
        <w:t>租赁收</w:t>
      </w:r>
      <w:proofErr w:type="gramEnd"/>
      <w:r>
        <w:rPr>
          <w:rFonts w:hint="eastAsia"/>
          <w:sz w:val="18"/>
          <w:szCs w:val="18"/>
        </w:rPr>
        <w:t>款额包括承租人行使终止租赁选择权需支付的款项；</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5）由承租人、与承租人有关的一方以及有经济能力履行担保义务的</w:t>
      </w:r>
      <w:proofErr w:type="gramStart"/>
      <w:r>
        <w:rPr>
          <w:rFonts w:hint="eastAsia"/>
          <w:sz w:val="18"/>
          <w:szCs w:val="18"/>
        </w:rPr>
        <w:t>独立第三</w:t>
      </w:r>
      <w:proofErr w:type="gramEnd"/>
      <w:r>
        <w:rPr>
          <w:rFonts w:hint="eastAsia"/>
          <w:sz w:val="18"/>
          <w:szCs w:val="18"/>
        </w:rPr>
        <w:t>方向出租人提供的担保余值。</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本公司按照固定的租赁内含利率计算并确认租赁期内各个期间的利息收入，所取得的未纳入租赁投资净额计量的可变租赁付款额在实际发生时计入当期损益。</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（3）对经营租赁的会计处理</w:t>
      </w:r>
    </w:p>
    <w:p w:rsidR="00BE788E" w:rsidRPr="004E7FBF" w:rsidRDefault="00BE788E" w:rsidP="004E7FBF">
      <w:pPr>
        <w:pStyle w:val="a3"/>
        <w:spacing w:before="0" w:beforeAutospacing="0" w:after="0" w:afterAutospacing="0"/>
        <w:ind w:firstLine="420"/>
        <w:jc w:val="both"/>
        <w:divId w:val="1925145065"/>
        <w:rPr>
          <w:sz w:val="18"/>
          <w:szCs w:val="18"/>
        </w:rPr>
      </w:pPr>
      <w:r>
        <w:rPr>
          <w:rFonts w:hint="eastAsia"/>
          <w:sz w:val="18"/>
          <w:szCs w:val="18"/>
        </w:rPr>
        <w:t>本公司在租赁期内各个期间采用直线法或其他系统合理的方法，将经营租赁的</w:t>
      </w:r>
      <w:proofErr w:type="gramStart"/>
      <w:r>
        <w:rPr>
          <w:rFonts w:hint="eastAsia"/>
          <w:sz w:val="18"/>
          <w:szCs w:val="18"/>
        </w:rPr>
        <w:t>租赁收</w:t>
      </w:r>
      <w:proofErr w:type="gramEnd"/>
      <w:r>
        <w:rPr>
          <w:rFonts w:hint="eastAsia"/>
          <w:sz w:val="18"/>
          <w:szCs w:val="18"/>
        </w:rPr>
        <w:t>款额确认为租金收入；发生的与经营租赁有关的初始直接费用资本化，在租赁期内按照与租金收入确认相同的基础进行分摊，分期计入当期损益；取得的与经营租赁有关的未计入</w:t>
      </w:r>
      <w:proofErr w:type="gramStart"/>
      <w:r>
        <w:rPr>
          <w:rFonts w:hint="eastAsia"/>
          <w:sz w:val="18"/>
          <w:szCs w:val="18"/>
        </w:rPr>
        <w:t>租赁收</w:t>
      </w:r>
      <w:proofErr w:type="gramEnd"/>
      <w:r>
        <w:rPr>
          <w:rFonts w:hint="eastAsia"/>
          <w:sz w:val="18"/>
          <w:szCs w:val="18"/>
        </w:rPr>
        <w:t>款额的可变租赁付款额，在实际发生时计入当期损益。</w:t>
      </w:r>
    </w:p>
    <w:p w:rsidR="00037019" w:rsidRDefault="00BE788E">
      <w:pPr>
        <w:pStyle w:val="3"/>
        <w:spacing w:line="280" w:lineRule="exact"/>
        <w:jc w:val="left"/>
        <w:rPr>
          <w:rFonts w:ascii="宋体" w:hAnsi="宋体" w:cs="宋体"/>
          <w:b/>
          <w:bCs/>
        </w:rPr>
      </w:pPr>
      <w:bookmarkStart w:id="169" w:name="_Toc989058"/>
      <w:r>
        <w:rPr>
          <w:rFonts w:ascii="宋体" w:hAnsi="宋体" w:cs="宋体"/>
          <w:b/>
          <w:bCs/>
        </w:rPr>
        <w:t>42、其他重要的会计政策和会计估计</w:t>
      </w:r>
      <w:bookmarkEnd w:id="169"/>
    </w:p>
    <w:p w:rsidR="00BE788E" w:rsidRDefault="00BE788E" w:rsidP="00F34484">
      <w:pPr>
        <w:widowControl/>
        <w:numPr>
          <w:ilvl w:val="0"/>
          <w:numId w:val="98"/>
        </w:numPr>
        <w:divId w:val="132216868"/>
        <w:rPr>
          <w:rFonts w:ascii="Calibri" w:hAnsi="Calibri" w:cs="Calibri"/>
          <w:szCs w:val="21"/>
        </w:rPr>
      </w:pPr>
      <w:r>
        <w:rPr>
          <w:rFonts w:cs="Calibri" w:hint="eastAsia"/>
          <w:sz w:val="18"/>
          <w:szCs w:val="18"/>
        </w:rPr>
        <w:t>终止经营</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本公司将满足下列条件之一的，且该组成部分已经处置或划归为持有待售类别的、能够单独区分的组成部分确认为终止经营组成部分：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1</w:t>
      </w:r>
      <w:r>
        <w:rPr>
          <w:rFonts w:hint="eastAsia"/>
          <w:sz w:val="18"/>
          <w:szCs w:val="18"/>
        </w:rPr>
        <w:t>）该组成部分代表一项独立的主要业务或一个单独的主要经营地区。</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2</w:t>
      </w:r>
      <w:r>
        <w:rPr>
          <w:rFonts w:hint="eastAsia"/>
          <w:sz w:val="18"/>
          <w:szCs w:val="18"/>
        </w:rPr>
        <w:t>）该组成部分是拟对一项独立的主要业务或一个单独的主要经营地区进行处置的一项相关联计划的一部分。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3</w:t>
      </w:r>
      <w:r>
        <w:rPr>
          <w:rFonts w:hint="eastAsia"/>
          <w:sz w:val="18"/>
          <w:szCs w:val="18"/>
        </w:rPr>
        <w:t>）该组成部分是专为转售而取得的子公司。</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终止经营的减值损失和转回金额等经营损益及处置损益作为终止经营损益在利润表中列示。</w:t>
      </w:r>
    </w:p>
    <w:p w:rsidR="00BE788E" w:rsidRDefault="00BE788E" w:rsidP="00F34484">
      <w:pPr>
        <w:widowControl/>
        <w:numPr>
          <w:ilvl w:val="0"/>
          <w:numId w:val="99"/>
        </w:numPr>
        <w:divId w:val="132216868"/>
        <w:rPr>
          <w:rFonts w:ascii="Calibri" w:hAnsi="Calibri" w:cs="Calibri"/>
          <w:szCs w:val="21"/>
        </w:rPr>
      </w:pPr>
      <w:r>
        <w:rPr>
          <w:rFonts w:cs="Calibri" w:hint="eastAsia"/>
          <w:sz w:val="18"/>
          <w:szCs w:val="18"/>
        </w:rPr>
        <w:t>套期会计</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本公司按照套期关系，将套期保值划分为公允价值套期、现金流量套期和境外净投资套期。</w:t>
      </w:r>
    </w:p>
    <w:p w:rsidR="00BE788E" w:rsidRDefault="00BE788E" w:rsidP="00F34484">
      <w:pPr>
        <w:widowControl/>
        <w:numPr>
          <w:ilvl w:val="0"/>
          <w:numId w:val="100"/>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对于同时满足下列条件的套期工具，运用套期会计方法进行处理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1</w:t>
      </w:r>
      <w:r>
        <w:rPr>
          <w:rFonts w:hint="eastAsia"/>
          <w:sz w:val="18"/>
          <w:szCs w:val="18"/>
        </w:rPr>
        <w:t>）套</w:t>
      </w:r>
      <w:proofErr w:type="gramStart"/>
      <w:r>
        <w:rPr>
          <w:rFonts w:hint="eastAsia"/>
          <w:sz w:val="18"/>
          <w:szCs w:val="18"/>
        </w:rPr>
        <w:t>期关系</w:t>
      </w:r>
      <w:proofErr w:type="gramEnd"/>
      <w:r>
        <w:rPr>
          <w:rFonts w:hint="eastAsia"/>
          <w:sz w:val="18"/>
          <w:szCs w:val="18"/>
        </w:rPr>
        <w:t>仅由符合条件的套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组成。</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2</w:t>
      </w:r>
      <w:r>
        <w:rPr>
          <w:rFonts w:hint="eastAsia"/>
          <w:sz w:val="18"/>
          <w:szCs w:val="18"/>
        </w:rPr>
        <w:t>）在套期开始时，本公司正式指定了套</w:t>
      </w:r>
      <w:proofErr w:type="gramStart"/>
      <w:r>
        <w:rPr>
          <w:rFonts w:hint="eastAsia"/>
          <w:sz w:val="18"/>
          <w:szCs w:val="18"/>
        </w:rPr>
        <w:t>期工具</w:t>
      </w:r>
      <w:proofErr w:type="gramEnd"/>
      <w:r>
        <w:rPr>
          <w:rFonts w:hint="eastAsia"/>
          <w:sz w:val="18"/>
          <w:szCs w:val="18"/>
        </w:rPr>
        <w:t>和被套期项目，并准备了关于套</w:t>
      </w:r>
      <w:proofErr w:type="gramStart"/>
      <w:r>
        <w:rPr>
          <w:rFonts w:hint="eastAsia"/>
          <w:sz w:val="18"/>
          <w:szCs w:val="18"/>
        </w:rPr>
        <w:t>期关系</w:t>
      </w:r>
      <w:proofErr w:type="gramEnd"/>
      <w:r>
        <w:rPr>
          <w:rFonts w:hint="eastAsia"/>
          <w:sz w:val="18"/>
          <w:szCs w:val="18"/>
        </w:rPr>
        <w:t>和从事套期的风险管理策略和风险管理目标的书面文件。</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w:t>
      </w:r>
      <w:r w:rsidRPr="004E7FBF">
        <w:rPr>
          <w:sz w:val="18"/>
          <w:szCs w:val="18"/>
        </w:rPr>
        <w:t>3</w:t>
      </w:r>
      <w:r>
        <w:rPr>
          <w:rFonts w:hint="eastAsia"/>
          <w:sz w:val="18"/>
          <w:szCs w:val="18"/>
        </w:rPr>
        <w:t>）套</w:t>
      </w:r>
      <w:proofErr w:type="gramStart"/>
      <w:r>
        <w:rPr>
          <w:rFonts w:hint="eastAsia"/>
          <w:sz w:val="18"/>
          <w:szCs w:val="18"/>
        </w:rPr>
        <w:t>期关系</w:t>
      </w:r>
      <w:proofErr w:type="gramEnd"/>
      <w:r>
        <w:rPr>
          <w:rFonts w:hint="eastAsia"/>
          <w:sz w:val="18"/>
          <w:szCs w:val="18"/>
        </w:rPr>
        <w:t>符合套期有效性要求。</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套</w:t>
      </w:r>
      <w:proofErr w:type="gramStart"/>
      <w:r>
        <w:rPr>
          <w:rFonts w:hint="eastAsia"/>
          <w:sz w:val="18"/>
          <w:szCs w:val="18"/>
        </w:rPr>
        <w:t>期同时</w:t>
      </w:r>
      <w:proofErr w:type="gramEnd"/>
      <w:r>
        <w:rPr>
          <w:rFonts w:hint="eastAsia"/>
          <w:sz w:val="18"/>
          <w:szCs w:val="18"/>
        </w:rPr>
        <w:t>满足下列条件的，认定套</w:t>
      </w:r>
      <w:proofErr w:type="gramStart"/>
      <w:r>
        <w:rPr>
          <w:rFonts w:hint="eastAsia"/>
          <w:sz w:val="18"/>
          <w:szCs w:val="18"/>
        </w:rPr>
        <w:t>期关系</w:t>
      </w:r>
      <w:proofErr w:type="gramEnd"/>
      <w:r>
        <w:rPr>
          <w:rFonts w:hint="eastAsia"/>
          <w:sz w:val="18"/>
          <w:szCs w:val="18"/>
        </w:rPr>
        <w:t>符合套期有效性要求：</w:t>
      </w:r>
    </w:p>
    <w:p w:rsidR="00BE788E" w:rsidRPr="004E7FBF" w:rsidRDefault="00BE788E" w:rsidP="004E7FBF">
      <w:pPr>
        <w:pStyle w:val="a3"/>
        <w:spacing w:before="0" w:beforeAutospacing="0" w:after="0" w:afterAutospacing="0"/>
        <w:ind w:firstLine="420"/>
        <w:jc w:val="both"/>
        <w:divId w:val="132216868"/>
        <w:rPr>
          <w:sz w:val="18"/>
          <w:szCs w:val="18"/>
        </w:rPr>
      </w:pPr>
      <w:r w:rsidRPr="004E7FBF">
        <w:rPr>
          <w:sz w:val="18"/>
          <w:szCs w:val="18"/>
        </w:rPr>
        <w:t>1</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之间存在经济关系。该经济关系使得套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的价值因面临相同的被套期风险而发生方向相反的变动。</w:t>
      </w:r>
    </w:p>
    <w:p w:rsidR="00BE788E" w:rsidRPr="004E7FBF" w:rsidRDefault="00BE788E" w:rsidP="004E7FBF">
      <w:pPr>
        <w:pStyle w:val="a3"/>
        <w:spacing w:before="0" w:beforeAutospacing="0" w:after="0" w:afterAutospacing="0"/>
        <w:ind w:firstLine="420"/>
        <w:jc w:val="both"/>
        <w:divId w:val="132216868"/>
        <w:rPr>
          <w:sz w:val="18"/>
          <w:szCs w:val="18"/>
        </w:rPr>
      </w:pPr>
      <w:r w:rsidRPr="004E7FBF">
        <w:rPr>
          <w:sz w:val="18"/>
          <w:szCs w:val="18"/>
        </w:rPr>
        <w:t>2</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经济关系产生的价值变动中，信用风险的影响不占主导地位。</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3）套</w:t>
      </w:r>
      <w:proofErr w:type="gramStart"/>
      <w:r>
        <w:rPr>
          <w:rFonts w:hint="eastAsia"/>
          <w:sz w:val="18"/>
          <w:szCs w:val="18"/>
        </w:rPr>
        <w:t>期关系</w:t>
      </w:r>
      <w:proofErr w:type="gramEnd"/>
      <w:r>
        <w:rPr>
          <w:rFonts w:hint="eastAsia"/>
          <w:sz w:val="18"/>
          <w:szCs w:val="18"/>
        </w:rPr>
        <w:t>的套期比率，等于公司实际套期的被套</w:t>
      </w:r>
      <w:proofErr w:type="gramStart"/>
      <w:r>
        <w:rPr>
          <w:rFonts w:hint="eastAsia"/>
          <w:sz w:val="18"/>
          <w:szCs w:val="18"/>
        </w:rPr>
        <w:t>期项目</w:t>
      </w:r>
      <w:proofErr w:type="gramEnd"/>
      <w:r>
        <w:rPr>
          <w:rFonts w:hint="eastAsia"/>
          <w:sz w:val="18"/>
          <w:szCs w:val="18"/>
        </w:rPr>
        <w:t>数量与对其进行套期的套</w:t>
      </w:r>
      <w:proofErr w:type="gramStart"/>
      <w:r>
        <w:rPr>
          <w:rFonts w:hint="eastAsia"/>
          <w:sz w:val="18"/>
          <w:szCs w:val="18"/>
        </w:rPr>
        <w:t>期工具</w:t>
      </w:r>
      <w:proofErr w:type="gramEnd"/>
      <w:r>
        <w:rPr>
          <w:rFonts w:hint="eastAsia"/>
          <w:sz w:val="18"/>
          <w:szCs w:val="18"/>
        </w:rPr>
        <w:t>实际数量之比，但不反映被套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相对权重的失衡，这种失衡会导致套期无效，并可能产生与套期会计目标不一致的会计结果。</w:t>
      </w:r>
    </w:p>
    <w:p w:rsidR="00BE788E" w:rsidRDefault="00BE788E" w:rsidP="00F34484">
      <w:pPr>
        <w:widowControl/>
        <w:numPr>
          <w:ilvl w:val="0"/>
          <w:numId w:val="101"/>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公允价值套期会计处理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产生的利得或损失计入当期损益。如果套</w:t>
      </w:r>
      <w:proofErr w:type="gramStart"/>
      <w:r>
        <w:rPr>
          <w:rFonts w:hint="eastAsia"/>
          <w:sz w:val="18"/>
          <w:szCs w:val="18"/>
        </w:rPr>
        <w:t>期工具</w:t>
      </w:r>
      <w:proofErr w:type="gramEnd"/>
      <w:r>
        <w:rPr>
          <w:rFonts w:hint="eastAsia"/>
          <w:sz w:val="18"/>
          <w:szCs w:val="18"/>
        </w:rPr>
        <w:t>是对选择以公允价值计量且其变动计入其他综合收益的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性权益工具投资（或其组成部分）进行套期的，套</w:t>
      </w:r>
      <w:proofErr w:type="gramStart"/>
      <w:r>
        <w:rPr>
          <w:rFonts w:hint="eastAsia"/>
          <w:sz w:val="18"/>
          <w:szCs w:val="18"/>
        </w:rPr>
        <w:t>期工具</w:t>
      </w:r>
      <w:proofErr w:type="gramEnd"/>
      <w:r>
        <w:rPr>
          <w:rFonts w:hint="eastAsia"/>
          <w:sz w:val="18"/>
          <w:szCs w:val="18"/>
        </w:rPr>
        <w:t>产生的利得或损失计入其他综合收益。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lastRenderedPageBreak/>
        <w:t>（2）被套</w:t>
      </w:r>
      <w:proofErr w:type="gramStart"/>
      <w:r>
        <w:rPr>
          <w:rFonts w:hint="eastAsia"/>
          <w:sz w:val="18"/>
          <w:szCs w:val="18"/>
        </w:rPr>
        <w:t>期项目</w:t>
      </w:r>
      <w:proofErr w:type="gramEnd"/>
      <w:r>
        <w:rPr>
          <w:rFonts w:hint="eastAsia"/>
          <w:sz w:val="18"/>
          <w:szCs w:val="18"/>
        </w:rPr>
        <w:t>因被套期风险敞口形成的利得或损失计入当期损益，同时调整未以公允价值计量的已确认被套</w:t>
      </w:r>
      <w:proofErr w:type="gramStart"/>
      <w:r>
        <w:rPr>
          <w:rFonts w:hint="eastAsia"/>
          <w:sz w:val="18"/>
          <w:szCs w:val="18"/>
        </w:rPr>
        <w:t>期项目</w:t>
      </w:r>
      <w:proofErr w:type="gramEnd"/>
      <w:r>
        <w:rPr>
          <w:rFonts w:hint="eastAsia"/>
          <w:sz w:val="18"/>
          <w:szCs w:val="18"/>
        </w:rPr>
        <w:t>的账面价值。被套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为以公允价值计量且其变动计入其他综合收益的金融资产（或其组成部分）的，其因被套期风险敞口形成的利得或损失计入当期损益，其账面价值已经按公允价值计量，不需要调整；被套</w:t>
      </w:r>
      <w:proofErr w:type="gramStart"/>
      <w:r>
        <w:rPr>
          <w:rFonts w:hint="eastAsia"/>
          <w:sz w:val="18"/>
          <w:szCs w:val="18"/>
        </w:rPr>
        <w:t>期项目</w:t>
      </w:r>
      <w:proofErr w:type="gramEnd"/>
      <w:r>
        <w:rPr>
          <w:rFonts w:hint="eastAsia"/>
          <w:sz w:val="18"/>
          <w:szCs w:val="18"/>
        </w:rPr>
        <w:t>为公司选择以公允价值计量且其变动计入其他综合收益的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性权益工具投资（或其组成部分）的，其因被套期风险敞口形成的利得或损失计入其他综合收益，其账面价值已经按公允价值计量，不需要调整。</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被套</w:t>
      </w:r>
      <w:proofErr w:type="gramStart"/>
      <w:r>
        <w:rPr>
          <w:rFonts w:hint="eastAsia"/>
          <w:sz w:val="18"/>
          <w:szCs w:val="18"/>
        </w:rPr>
        <w:t>期项目</w:t>
      </w:r>
      <w:proofErr w:type="gramEnd"/>
      <w:r>
        <w:rPr>
          <w:rFonts w:hint="eastAsia"/>
          <w:sz w:val="18"/>
          <w:szCs w:val="18"/>
        </w:rPr>
        <w:t>为尚未确认的确定承诺（或其组成部分）的，其在套</w:t>
      </w:r>
      <w:proofErr w:type="gramStart"/>
      <w:r>
        <w:rPr>
          <w:rFonts w:hint="eastAsia"/>
          <w:sz w:val="18"/>
          <w:szCs w:val="18"/>
        </w:rPr>
        <w:t>期关系</w:t>
      </w:r>
      <w:proofErr w:type="gramEnd"/>
      <w:r>
        <w:rPr>
          <w:rFonts w:hint="eastAsia"/>
          <w:sz w:val="18"/>
          <w:szCs w:val="18"/>
        </w:rPr>
        <w:t>指定后因被套期风险引起的公允价值累计变动额确认为一项资产或负债，相关的利得或损失计入各相关期间损益。当履行确定承诺而取得资产或承担负债时，调整该资产或负债的初始确认金额，以包括已确认的被套</w:t>
      </w:r>
      <w:proofErr w:type="gramStart"/>
      <w:r>
        <w:rPr>
          <w:rFonts w:hint="eastAsia"/>
          <w:sz w:val="18"/>
          <w:szCs w:val="18"/>
        </w:rPr>
        <w:t>期项目</w:t>
      </w:r>
      <w:proofErr w:type="gramEnd"/>
      <w:r>
        <w:rPr>
          <w:rFonts w:hint="eastAsia"/>
          <w:sz w:val="18"/>
          <w:szCs w:val="18"/>
        </w:rPr>
        <w:t>的公允价值累计变动额。</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（3）被套</w:t>
      </w:r>
      <w:proofErr w:type="gramStart"/>
      <w:r>
        <w:rPr>
          <w:rFonts w:hint="eastAsia"/>
          <w:sz w:val="18"/>
          <w:szCs w:val="18"/>
        </w:rPr>
        <w:t>期项目</w:t>
      </w:r>
      <w:proofErr w:type="gramEnd"/>
      <w:r>
        <w:rPr>
          <w:rFonts w:hint="eastAsia"/>
          <w:sz w:val="18"/>
          <w:szCs w:val="18"/>
        </w:rPr>
        <w:t>为以摊</w:t>
      </w:r>
      <w:proofErr w:type="gramStart"/>
      <w:r>
        <w:rPr>
          <w:rFonts w:hint="eastAsia"/>
          <w:sz w:val="18"/>
          <w:szCs w:val="18"/>
        </w:rPr>
        <w:t>余成本</w:t>
      </w:r>
      <w:proofErr w:type="gramEnd"/>
      <w:r>
        <w:rPr>
          <w:rFonts w:hint="eastAsia"/>
          <w:sz w:val="18"/>
          <w:szCs w:val="18"/>
        </w:rPr>
        <w:t>计量的金融工具（或其组成部分）的，对被套</w:t>
      </w:r>
      <w:proofErr w:type="gramStart"/>
      <w:r>
        <w:rPr>
          <w:rFonts w:hint="eastAsia"/>
          <w:sz w:val="18"/>
          <w:szCs w:val="18"/>
        </w:rPr>
        <w:t>期项目</w:t>
      </w:r>
      <w:proofErr w:type="gramEnd"/>
      <w:r>
        <w:rPr>
          <w:rFonts w:hint="eastAsia"/>
          <w:sz w:val="18"/>
          <w:szCs w:val="18"/>
        </w:rPr>
        <w:t>账面价值所作的调整按照开始摊销日重新计算的实际利率进行摊销，并计入当期损益。该摊销可以自调整日开始，但不晚于对被套</w:t>
      </w:r>
      <w:proofErr w:type="gramStart"/>
      <w:r>
        <w:rPr>
          <w:rFonts w:hint="eastAsia"/>
          <w:sz w:val="18"/>
          <w:szCs w:val="18"/>
        </w:rPr>
        <w:t>期项目</w:t>
      </w:r>
      <w:proofErr w:type="gramEnd"/>
      <w:r>
        <w:rPr>
          <w:rFonts w:hint="eastAsia"/>
          <w:sz w:val="18"/>
          <w:szCs w:val="18"/>
        </w:rPr>
        <w:t>终止进行</w:t>
      </w:r>
      <w:proofErr w:type="gramStart"/>
      <w:r>
        <w:rPr>
          <w:rFonts w:hint="eastAsia"/>
          <w:sz w:val="18"/>
          <w:szCs w:val="18"/>
        </w:rPr>
        <w:t>套期利得</w:t>
      </w:r>
      <w:proofErr w:type="gramEnd"/>
      <w:r>
        <w:rPr>
          <w:rFonts w:hint="eastAsia"/>
          <w:sz w:val="18"/>
          <w:szCs w:val="18"/>
        </w:rPr>
        <w:t>和损失调整的时点。被套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为以公允价值计量且其变动计入其他综合收益的金融资产（或其组成部分）的，则按照相同的方式对累计已确认的</w:t>
      </w:r>
      <w:proofErr w:type="gramStart"/>
      <w:r>
        <w:rPr>
          <w:rFonts w:hint="eastAsia"/>
          <w:sz w:val="18"/>
          <w:szCs w:val="18"/>
        </w:rPr>
        <w:t>套期利得</w:t>
      </w:r>
      <w:proofErr w:type="gramEnd"/>
      <w:r>
        <w:rPr>
          <w:rFonts w:hint="eastAsia"/>
          <w:sz w:val="18"/>
          <w:szCs w:val="18"/>
        </w:rPr>
        <w:t>或损失进行摊销，并计入当期损益，但不调整金融资产（或其组成部分）的账面价值。</w:t>
      </w:r>
    </w:p>
    <w:p w:rsidR="00BE788E" w:rsidRDefault="00BE788E" w:rsidP="00F34484">
      <w:pPr>
        <w:widowControl/>
        <w:numPr>
          <w:ilvl w:val="0"/>
          <w:numId w:val="102"/>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现金流量套期会计处理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产生的利得或损失中属于套</w:t>
      </w:r>
      <w:proofErr w:type="gramStart"/>
      <w:r>
        <w:rPr>
          <w:rFonts w:hint="eastAsia"/>
          <w:sz w:val="18"/>
          <w:szCs w:val="18"/>
        </w:rPr>
        <w:t>期有效</w:t>
      </w:r>
      <w:proofErr w:type="gramEnd"/>
      <w:r>
        <w:rPr>
          <w:rFonts w:hint="eastAsia"/>
          <w:sz w:val="18"/>
          <w:szCs w:val="18"/>
        </w:rPr>
        <w:t>的部分，作为现金流量套期储备，计入其他综合收益。现金流量套期储备的金额，按照下列两项的绝对额中较低者确定：</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1）套</w:t>
      </w:r>
      <w:proofErr w:type="gramStart"/>
      <w:r>
        <w:rPr>
          <w:rFonts w:hint="eastAsia"/>
          <w:sz w:val="18"/>
          <w:szCs w:val="18"/>
        </w:rPr>
        <w:t>期工具</w:t>
      </w:r>
      <w:proofErr w:type="gramEnd"/>
      <w:r>
        <w:rPr>
          <w:rFonts w:hint="eastAsia"/>
          <w:sz w:val="18"/>
          <w:szCs w:val="18"/>
        </w:rPr>
        <w:t>自套期开始的累计利得或损失；</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2）被套</w:t>
      </w:r>
      <w:proofErr w:type="gramStart"/>
      <w:r>
        <w:rPr>
          <w:rFonts w:hint="eastAsia"/>
          <w:sz w:val="18"/>
          <w:szCs w:val="18"/>
        </w:rPr>
        <w:t>期项目</w:t>
      </w:r>
      <w:proofErr w:type="gramEnd"/>
      <w:r>
        <w:rPr>
          <w:rFonts w:hint="eastAsia"/>
          <w:sz w:val="18"/>
          <w:szCs w:val="18"/>
        </w:rPr>
        <w:t>自套期开始的预计未来现金流量现值的累计变动额。每期计入其他综合收益的现金流量套期储备的金额为当期现金流量套期储备的变动额。</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（2）套</w:t>
      </w:r>
      <w:proofErr w:type="gramStart"/>
      <w:r>
        <w:rPr>
          <w:rFonts w:hint="eastAsia"/>
          <w:sz w:val="18"/>
          <w:szCs w:val="18"/>
        </w:rPr>
        <w:t>期工具</w:t>
      </w:r>
      <w:proofErr w:type="gramEnd"/>
      <w:r>
        <w:rPr>
          <w:rFonts w:hint="eastAsia"/>
          <w:sz w:val="18"/>
          <w:szCs w:val="18"/>
        </w:rPr>
        <w:t>产生的利得或损失中属于套期无效的部分（即扣除计入其他综合收益后的其他利得或损失），计入当期损益。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（3）现金流量套期储备的金额，按照下列规定处理：</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1）被套</w:t>
      </w:r>
      <w:proofErr w:type="gramStart"/>
      <w:r>
        <w:rPr>
          <w:rFonts w:hint="eastAsia"/>
          <w:sz w:val="18"/>
          <w:szCs w:val="18"/>
        </w:rPr>
        <w:t>期项目</w:t>
      </w:r>
      <w:proofErr w:type="gramEnd"/>
      <w:r>
        <w:rPr>
          <w:rFonts w:hint="eastAsia"/>
          <w:sz w:val="18"/>
          <w:szCs w:val="18"/>
        </w:rPr>
        <w:t>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2）对于不属于前一条涉及的现金流量套期，在被套期的预期现金流量影响损益的相同期间，将原在其他综合收益中确认的现金流量套期储备金额转出，计入当期损益。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3）如果在其他综合收益中确认的现金流量套期储备金额是一项损失，且该损失全部或部分预计在未来会计期间不能弥补的，则在预计不能弥补时，将预计不能弥补的部分从其他综合收益中转出，计入当期损益。</w:t>
      </w:r>
    </w:p>
    <w:p w:rsidR="00BE788E" w:rsidRDefault="00BE788E" w:rsidP="00F34484">
      <w:pPr>
        <w:widowControl/>
        <w:numPr>
          <w:ilvl w:val="0"/>
          <w:numId w:val="103"/>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境外经营净投资套期</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对境外经营净投资的套期，包括对作为净投资的一部分进行会计处理的货币性项目的套期，本公司按照类似于现金流量套期会计的规定处理:</w:t>
      </w:r>
    </w:p>
    <w:p w:rsidR="00BE788E" w:rsidRDefault="00BE788E" w:rsidP="00F34484">
      <w:pPr>
        <w:widowControl/>
        <w:numPr>
          <w:ilvl w:val="0"/>
          <w:numId w:val="104"/>
        </w:numPr>
        <w:divId w:val="132216868"/>
        <w:rPr>
          <w:rFonts w:ascii="Calibri" w:hAnsi="Calibri" w:cs="Calibri"/>
          <w:szCs w:val="21"/>
        </w:rPr>
      </w:pPr>
      <w:r>
        <w:rPr>
          <w:rFonts w:cs="Calibri" w:hint="eastAsia"/>
          <w:sz w:val="18"/>
          <w:szCs w:val="18"/>
        </w:rPr>
        <w:t>套</w:t>
      </w:r>
      <w:proofErr w:type="gramStart"/>
      <w:r>
        <w:rPr>
          <w:rFonts w:cs="Calibri" w:hint="eastAsia"/>
          <w:sz w:val="18"/>
          <w:szCs w:val="18"/>
        </w:rPr>
        <w:t>期工具</w:t>
      </w:r>
      <w:proofErr w:type="gramEnd"/>
      <w:r>
        <w:rPr>
          <w:rFonts w:cs="Calibri" w:hint="eastAsia"/>
          <w:sz w:val="18"/>
          <w:szCs w:val="18"/>
        </w:rPr>
        <w:t>形成的利得或损失中属于套</w:t>
      </w:r>
      <w:proofErr w:type="gramStart"/>
      <w:r>
        <w:rPr>
          <w:rFonts w:cs="Calibri" w:hint="eastAsia"/>
          <w:sz w:val="18"/>
          <w:szCs w:val="18"/>
        </w:rPr>
        <w:t>期有效</w:t>
      </w:r>
      <w:proofErr w:type="gramEnd"/>
      <w:r>
        <w:rPr>
          <w:rFonts w:cs="Calibri" w:hint="eastAsia"/>
          <w:sz w:val="18"/>
          <w:szCs w:val="18"/>
        </w:rPr>
        <w:t>的部分，应当计入其他综合收益。</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全部或部分处置境外经营时，上述计入其他综合收益的套</w:t>
      </w:r>
      <w:proofErr w:type="gramStart"/>
      <w:r>
        <w:rPr>
          <w:rFonts w:hint="eastAsia"/>
          <w:sz w:val="18"/>
          <w:szCs w:val="18"/>
        </w:rPr>
        <w:t>期工具利</w:t>
      </w:r>
      <w:proofErr w:type="gramEnd"/>
      <w:r>
        <w:rPr>
          <w:rFonts w:hint="eastAsia"/>
          <w:sz w:val="18"/>
          <w:szCs w:val="18"/>
        </w:rPr>
        <w:t>得或损失应当相应转出，计入当期损益。</w:t>
      </w:r>
    </w:p>
    <w:p w:rsidR="00BE788E" w:rsidRDefault="00BE788E" w:rsidP="00F34484">
      <w:pPr>
        <w:widowControl/>
        <w:numPr>
          <w:ilvl w:val="0"/>
          <w:numId w:val="105"/>
        </w:numPr>
        <w:divId w:val="132216868"/>
        <w:rPr>
          <w:rFonts w:ascii="Calibri" w:hAnsi="Calibri" w:cs="Calibri"/>
          <w:szCs w:val="21"/>
        </w:rPr>
      </w:pPr>
      <w:r>
        <w:rPr>
          <w:rFonts w:cs="Calibri" w:hint="eastAsia"/>
          <w:sz w:val="18"/>
          <w:szCs w:val="18"/>
        </w:rPr>
        <w:t>套</w:t>
      </w:r>
      <w:proofErr w:type="gramStart"/>
      <w:r>
        <w:rPr>
          <w:rFonts w:cs="Calibri" w:hint="eastAsia"/>
          <w:sz w:val="18"/>
          <w:szCs w:val="18"/>
        </w:rPr>
        <w:t>期工具</w:t>
      </w:r>
      <w:proofErr w:type="gramEnd"/>
      <w:r>
        <w:rPr>
          <w:rFonts w:cs="Calibri" w:hint="eastAsia"/>
          <w:sz w:val="18"/>
          <w:szCs w:val="18"/>
        </w:rPr>
        <w:t>形成的利得或损失中属于套期无效的部分，应当计入当期损益。</w:t>
      </w:r>
    </w:p>
    <w:p w:rsidR="00BE788E" w:rsidRDefault="00BE788E" w:rsidP="00F34484">
      <w:pPr>
        <w:widowControl/>
        <w:numPr>
          <w:ilvl w:val="0"/>
          <w:numId w:val="106"/>
        </w:numPr>
        <w:spacing w:before="100" w:beforeAutospacing="1" w:after="100" w:afterAutospacing="1"/>
        <w:divId w:val="132216868"/>
        <w:rPr>
          <w:rFonts w:ascii="宋体" w:hAnsi="宋体" w:cs="宋体"/>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终止运用套期会计</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对于发生下列情形之一的，则终止运用套期会计：</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（1）因风险管理目标发生变化，导致套</w:t>
      </w:r>
      <w:proofErr w:type="gramStart"/>
      <w:r>
        <w:rPr>
          <w:rFonts w:hint="eastAsia"/>
          <w:sz w:val="18"/>
          <w:szCs w:val="18"/>
        </w:rPr>
        <w:t>期关系</w:t>
      </w:r>
      <w:proofErr w:type="gramEnd"/>
      <w:r>
        <w:rPr>
          <w:rFonts w:hint="eastAsia"/>
          <w:sz w:val="18"/>
          <w:szCs w:val="18"/>
        </w:rPr>
        <w:t>不再满足风险管理目标。</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（2）套</w:t>
      </w:r>
      <w:proofErr w:type="gramStart"/>
      <w:r>
        <w:rPr>
          <w:rFonts w:hint="eastAsia"/>
          <w:sz w:val="18"/>
          <w:szCs w:val="18"/>
        </w:rPr>
        <w:t>期工具</w:t>
      </w:r>
      <w:proofErr w:type="gramEnd"/>
      <w:r>
        <w:rPr>
          <w:rFonts w:hint="eastAsia"/>
          <w:sz w:val="18"/>
          <w:szCs w:val="18"/>
        </w:rPr>
        <w:t>已到期、被出售、合同终止或已行使。</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lastRenderedPageBreak/>
        <w:t>（3）被套</w:t>
      </w:r>
      <w:proofErr w:type="gramStart"/>
      <w:r>
        <w:rPr>
          <w:rFonts w:hint="eastAsia"/>
          <w:sz w:val="18"/>
          <w:szCs w:val="18"/>
        </w:rPr>
        <w:t>期项目</w:t>
      </w:r>
      <w:proofErr w:type="gramEnd"/>
      <w:r>
        <w:rPr>
          <w:rFonts w:hint="eastAsia"/>
          <w:sz w:val="18"/>
          <w:szCs w:val="18"/>
        </w:rPr>
        <w:t>与套</w:t>
      </w:r>
      <w:proofErr w:type="gramStart"/>
      <w:r>
        <w:rPr>
          <w:rFonts w:hint="eastAsia"/>
          <w:sz w:val="18"/>
          <w:szCs w:val="18"/>
        </w:rPr>
        <w:t>期工具</w:t>
      </w:r>
      <w:proofErr w:type="gramEnd"/>
      <w:r>
        <w:rPr>
          <w:rFonts w:hint="eastAsia"/>
          <w:sz w:val="18"/>
          <w:szCs w:val="18"/>
        </w:rPr>
        <w:t>之间不再存在经济关系，或者被套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经济关系产生的价值变动中，信用风险的影响开始占主导地位。</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（4）套</w:t>
      </w:r>
      <w:proofErr w:type="gramStart"/>
      <w:r>
        <w:rPr>
          <w:rFonts w:hint="eastAsia"/>
          <w:sz w:val="18"/>
          <w:szCs w:val="18"/>
        </w:rPr>
        <w:t>期关系</w:t>
      </w:r>
      <w:proofErr w:type="gramEnd"/>
      <w:r>
        <w:rPr>
          <w:rFonts w:hint="eastAsia"/>
          <w:sz w:val="18"/>
          <w:szCs w:val="18"/>
        </w:rPr>
        <w:t>不再满足本准则所规定的运用套期会计方法的其他条件。在适用套</w:t>
      </w:r>
      <w:proofErr w:type="gramStart"/>
      <w:r>
        <w:rPr>
          <w:rFonts w:hint="eastAsia"/>
          <w:sz w:val="18"/>
          <w:szCs w:val="18"/>
        </w:rPr>
        <w:t>期关系</w:t>
      </w:r>
      <w:proofErr w:type="gramEnd"/>
      <w:r>
        <w:rPr>
          <w:rFonts w:hint="eastAsia"/>
          <w:sz w:val="18"/>
          <w:szCs w:val="18"/>
        </w:rPr>
        <w:t>再平衡的情况下，企业应当首先考虑套</w:t>
      </w:r>
      <w:proofErr w:type="gramStart"/>
      <w:r>
        <w:rPr>
          <w:rFonts w:hint="eastAsia"/>
          <w:sz w:val="18"/>
          <w:szCs w:val="18"/>
        </w:rPr>
        <w:t>期关系</w:t>
      </w:r>
      <w:proofErr w:type="gramEnd"/>
      <w:r>
        <w:rPr>
          <w:rFonts w:hint="eastAsia"/>
          <w:sz w:val="18"/>
          <w:szCs w:val="18"/>
        </w:rPr>
        <w:t>再平衡，然后评估套</w:t>
      </w:r>
      <w:proofErr w:type="gramStart"/>
      <w:r>
        <w:rPr>
          <w:rFonts w:hint="eastAsia"/>
          <w:sz w:val="18"/>
          <w:szCs w:val="18"/>
        </w:rPr>
        <w:t>期关系</w:t>
      </w:r>
      <w:proofErr w:type="gramEnd"/>
      <w:r>
        <w:rPr>
          <w:rFonts w:hint="eastAsia"/>
          <w:sz w:val="18"/>
          <w:szCs w:val="18"/>
        </w:rPr>
        <w:t>是否满足本准则所规定的运用套期会计方法的条件。</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终止套期会计可能会影响套</w:t>
      </w:r>
      <w:proofErr w:type="gramStart"/>
      <w:r>
        <w:rPr>
          <w:rFonts w:hint="eastAsia"/>
          <w:sz w:val="18"/>
          <w:szCs w:val="18"/>
        </w:rPr>
        <w:t>期关系</w:t>
      </w:r>
      <w:proofErr w:type="gramEnd"/>
      <w:r>
        <w:rPr>
          <w:rFonts w:hint="eastAsia"/>
          <w:sz w:val="18"/>
          <w:szCs w:val="18"/>
        </w:rPr>
        <w:t>的整体或其中一部分，在仅影响其中一部分时，剩余未受影响的部分仍适用套期会计。</w:t>
      </w:r>
    </w:p>
    <w:p w:rsidR="00BE788E" w:rsidRDefault="00BE788E" w:rsidP="00F34484">
      <w:pPr>
        <w:widowControl/>
        <w:numPr>
          <w:ilvl w:val="0"/>
          <w:numId w:val="107"/>
        </w:numPr>
        <w:spacing w:before="100" w:beforeAutospacing="1" w:after="100" w:afterAutospacing="1"/>
        <w:divId w:val="13221686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信用风险敞口的公允价值选择</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w:t>
      </w:r>
      <w:proofErr w:type="gramStart"/>
      <w:r>
        <w:rPr>
          <w:rFonts w:hint="eastAsia"/>
          <w:sz w:val="18"/>
          <w:szCs w:val="18"/>
        </w:rPr>
        <w:t>作出</w:t>
      </w:r>
      <w:proofErr w:type="gramEnd"/>
      <w:r>
        <w:rPr>
          <w:rFonts w:hint="eastAsia"/>
          <w:sz w:val="18"/>
          <w:szCs w:val="18"/>
        </w:rPr>
        <w:t>书面记录，但应同时满足下列条件：</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（1）金融工具信用风险敞口的主体（如借款人或贷款承诺持有人）与信用衍生工具涉及的主体相一致；</w:t>
      </w:r>
    </w:p>
    <w:p w:rsidR="00BE788E" w:rsidRPr="004E7FBF" w:rsidRDefault="00BE788E" w:rsidP="004E7FBF">
      <w:pPr>
        <w:pStyle w:val="a3"/>
        <w:spacing w:before="0" w:beforeAutospacing="0" w:after="0" w:afterAutospacing="0"/>
        <w:ind w:firstLine="420"/>
        <w:jc w:val="both"/>
        <w:divId w:val="132216868"/>
        <w:rPr>
          <w:sz w:val="18"/>
          <w:szCs w:val="18"/>
        </w:rPr>
      </w:pPr>
      <w:r>
        <w:rPr>
          <w:rFonts w:hint="eastAsia"/>
          <w:sz w:val="18"/>
          <w:szCs w:val="18"/>
        </w:rPr>
        <w:t>（2）金融工具的偿付级次与根据信用衍生工具条款须交付的工具的偿付级次相一致。</w:t>
      </w:r>
    </w:p>
    <w:p w:rsidR="00037019" w:rsidRDefault="00BE788E">
      <w:pPr>
        <w:pStyle w:val="3"/>
        <w:spacing w:line="280" w:lineRule="exact"/>
        <w:jc w:val="left"/>
        <w:rPr>
          <w:rFonts w:ascii="宋体" w:hAnsi="宋体" w:cs="宋体"/>
          <w:b/>
          <w:bCs/>
        </w:rPr>
      </w:pPr>
      <w:bookmarkStart w:id="170" w:name="_Toc989059"/>
      <w:r>
        <w:rPr>
          <w:rFonts w:ascii="宋体" w:hAnsi="宋体" w:cs="宋体"/>
          <w:b/>
          <w:bCs/>
        </w:rPr>
        <w:t>43、重要会计政策和会计估计变更</w:t>
      </w:r>
      <w:bookmarkEnd w:id="170"/>
    </w:p>
    <w:p w:rsidR="00037019" w:rsidRDefault="00BE788E">
      <w:pPr>
        <w:keepNext/>
        <w:keepLines/>
        <w:spacing w:before="300" w:after="300" w:line="280" w:lineRule="exact"/>
        <w:outlineLvl w:val="3"/>
        <w:rPr>
          <w:rFonts w:ascii="宋体" w:eastAsia="宋体" w:hAnsi="宋体" w:cs="宋体"/>
          <w:b/>
          <w:bCs/>
          <w:sz w:val="18"/>
          <w:szCs w:val="18"/>
        </w:rPr>
      </w:pPr>
      <w:bookmarkStart w:id="171" w:name="_Toc989060"/>
      <w:r>
        <w:rPr>
          <w:rFonts w:ascii="宋体" w:eastAsia="宋体" w:hAnsi="宋体" w:cs="宋体"/>
          <w:b/>
          <w:bCs/>
          <w:sz w:val="18"/>
          <w:szCs w:val="18"/>
        </w:rPr>
        <w:t>（1） 重要会计政策变更</w:t>
      </w:r>
      <w:bookmarkEnd w:id="171"/>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172" w:name="_Toc989061"/>
      <w:r>
        <w:rPr>
          <w:rFonts w:ascii="宋体" w:eastAsia="宋体" w:hAnsi="宋体" w:cs="宋体"/>
          <w:b/>
          <w:bCs/>
          <w:sz w:val="18"/>
          <w:szCs w:val="18"/>
        </w:rPr>
        <w:t>（2） 重要会计估计变更</w:t>
      </w:r>
      <w:bookmarkEnd w:id="17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173" w:name="_Toc989062"/>
      <w:r>
        <w:rPr>
          <w:rFonts w:ascii="宋体" w:eastAsia="宋体" w:hAnsi="宋体" w:cs="宋体"/>
          <w:b/>
          <w:bCs/>
          <w:sz w:val="18"/>
          <w:szCs w:val="18"/>
        </w:rPr>
        <w:t>（3） 2024年起首次执行新会计准则调整首次执行当年年初财务报表相关项目情况</w:t>
      </w:r>
      <w:bookmarkEnd w:id="17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174" w:name="_Toc989063"/>
      <w:r>
        <w:rPr>
          <w:rFonts w:ascii="宋体" w:hAnsi="宋体" w:cs="宋体"/>
          <w:b/>
          <w:bCs/>
        </w:rPr>
        <w:t>44、其他</w:t>
      </w:r>
      <w:bookmarkEnd w:id="174"/>
    </w:p>
    <w:p w:rsidR="00BE788E" w:rsidRDefault="00BE788E">
      <w:pPr>
        <w:pStyle w:val="a3"/>
        <w:divId w:val="391000898"/>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175" w:name="_Toc989064"/>
      <w:r>
        <w:rPr>
          <w:rFonts w:ascii="宋体" w:eastAsia="宋体" w:hAnsi="宋体" w:cs="宋体"/>
          <w:b/>
          <w:bCs/>
          <w:sz w:val="24"/>
          <w:szCs w:val="24"/>
        </w:rPr>
        <w:t>六、税项</w:t>
      </w:r>
      <w:bookmarkEnd w:id="175"/>
    </w:p>
    <w:p w:rsidR="00037019" w:rsidRDefault="00BE788E">
      <w:pPr>
        <w:pStyle w:val="3"/>
        <w:spacing w:line="280" w:lineRule="exact"/>
        <w:jc w:val="left"/>
        <w:rPr>
          <w:rFonts w:ascii="宋体" w:hAnsi="宋体" w:cs="宋体"/>
          <w:b/>
          <w:bCs/>
        </w:rPr>
      </w:pPr>
      <w:bookmarkStart w:id="176" w:name="_Toc989065"/>
      <w:r>
        <w:rPr>
          <w:rFonts w:ascii="宋体" w:hAnsi="宋体" w:cs="宋体"/>
          <w:b/>
          <w:bCs/>
        </w:rPr>
        <w:t>1、主要税种及税率</w:t>
      </w:r>
      <w:bookmarkEnd w:id="17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558"/>
        <w:gridCol w:w="2868"/>
      </w:tblGrid>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税种</w:t>
            </w:r>
          </w:p>
        </w:tc>
        <w:tc>
          <w:tcPr>
            <w:tcW w:w="355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计税依据</w:t>
            </w:r>
          </w:p>
        </w:tc>
        <w:tc>
          <w:tcPr>
            <w:tcW w:w="28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税率</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销售货物、应税劳务收入和应税服务收入</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13%、10%、9%、6%</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7%、5%、3%</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应纳税所得额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15%、25%、16.5%、20%</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3.00%</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地方教育费附加</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2.00%</w:t>
            </w:r>
          </w:p>
        </w:tc>
      </w:tr>
      <w:tr w:rsidR="00037019" w:rsidTr="004A532F">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房产税</w:t>
            </w:r>
          </w:p>
        </w:tc>
        <w:tc>
          <w:tcPr>
            <w:tcW w:w="355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房产税按照房产原值的70%为纳税基准，税率为1.2%，或以租金收入为纳税基准，税率为12%</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1.2%、12%</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存在不同企业所得税税率纳税主体的，披露情况说明</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71"/>
        <w:gridCol w:w="2868"/>
      </w:tblGrid>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纳税主体名称</w:t>
            </w:r>
          </w:p>
        </w:tc>
        <w:tc>
          <w:tcPr>
            <w:tcW w:w="28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所得税税率</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香港华孚贸易有限公司、香港华孚有限公司、香港天成贸易有限公司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16.50%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阿克苏华孚色纺有限公司、</w:t>
            </w: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新疆棉花产业集团伽师棉业有限公司、新疆棉花产业集团岳</w:t>
            </w:r>
            <w:proofErr w:type="gramStart"/>
            <w:r>
              <w:rPr>
                <w:rFonts w:ascii="宋体" w:eastAsia="宋体" w:hAnsi="宋体" w:cs="宋体"/>
                <w:sz w:val="18"/>
                <w:szCs w:val="18"/>
              </w:rPr>
              <w:t>普湖棉业</w:t>
            </w:r>
            <w:proofErr w:type="gramEnd"/>
            <w:r>
              <w:rPr>
                <w:rFonts w:ascii="宋体" w:eastAsia="宋体" w:hAnsi="宋体" w:cs="宋体"/>
                <w:sz w:val="18"/>
                <w:szCs w:val="18"/>
              </w:rPr>
              <w:t>有限公司、</w:t>
            </w: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有限责任公司、库车纵横棉业有限责任公司、新疆华孚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有限公司、喀什</w:t>
            </w:r>
            <w:proofErr w:type="gramStart"/>
            <w:r>
              <w:rPr>
                <w:rFonts w:ascii="宋体" w:eastAsia="宋体" w:hAnsi="宋体" w:cs="宋体"/>
                <w:sz w:val="18"/>
                <w:szCs w:val="18"/>
              </w:rPr>
              <w:t>暄</w:t>
            </w:r>
            <w:proofErr w:type="gramEnd"/>
            <w:r>
              <w:rPr>
                <w:rFonts w:ascii="宋体" w:eastAsia="宋体" w:hAnsi="宋体" w:cs="宋体"/>
                <w:sz w:val="18"/>
                <w:szCs w:val="18"/>
              </w:rPr>
              <w:t>纺棉花有限公司、新疆盛孚棉业有限公司、新疆泽孚棉花有限公司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17.00%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15.00%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上海清澄时尚生活用品有限公司、阿克苏华孚新能源有限公司、江苏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生活用品有限公司、上海华孚色纺贸易有限公司、浙江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科技有限公司等</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20.00%</w:t>
            </w:r>
          </w:p>
        </w:tc>
      </w:tr>
      <w:tr w:rsidR="00037019" w:rsidTr="004A532F">
        <w:trPr>
          <w:trHeight w:val="240"/>
        </w:trPr>
        <w:tc>
          <w:tcPr>
            <w:tcW w:w="67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其他子公司</w:t>
            </w:r>
          </w:p>
        </w:tc>
        <w:tc>
          <w:tcPr>
            <w:tcW w:w="28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25.00%</w:t>
            </w:r>
          </w:p>
        </w:tc>
      </w:tr>
    </w:tbl>
    <w:p w:rsidR="00037019" w:rsidRDefault="00BE788E">
      <w:pPr>
        <w:pStyle w:val="3"/>
        <w:spacing w:line="280" w:lineRule="exact"/>
        <w:jc w:val="left"/>
        <w:rPr>
          <w:rFonts w:ascii="宋体" w:hAnsi="宋体" w:cs="宋体"/>
          <w:b/>
          <w:bCs/>
        </w:rPr>
      </w:pPr>
      <w:bookmarkStart w:id="177" w:name="_Toc989066"/>
      <w:r>
        <w:rPr>
          <w:rFonts w:ascii="宋体" w:hAnsi="宋体" w:cs="宋体"/>
          <w:b/>
          <w:bCs/>
        </w:rPr>
        <w:t>2、税收优惠</w:t>
      </w:r>
      <w:bookmarkEnd w:id="177"/>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hint="eastAsia"/>
          <w:sz w:val="18"/>
          <w:szCs w:val="18"/>
        </w:rPr>
        <w:t>1、本公司取得了安徽省科学技术厅、安徽省财政厅、国家税务总局安徽省税务局于</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9</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18</w:t>
      </w:r>
      <w:r w:rsidRPr="004A532F">
        <w:rPr>
          <w:rFonts w:asciiTheme="minorEastAsia" w:eastAsiaTheme="minorEastAsia" w:hAnsiTheme="minorEastAsia" w:hint="eastAsia"/>
          <w:sz w:val="18"/>
          <w:szCs w:val="18"/>
        </w:rPr>
        <w:t>日联合颁发的证书编号</w:t>
      </w:r>
      <w:r w:rsidRPr="004A532F">
        <w:rPr>
          <w:rFonts w:asciiTheme="minorEastAsia" w:eastAsiaTheme="minorEastAsia" w:hAnsiTheme="minorEastAsia" w:cs="Times New Roman"/>
          <w:sz w:val="18"/>
          <w:szCs w:val="18"/>
        </w:rPr>
        <w:t>GR202134002871</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年。本公司自</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2</w:t>
      </w:r>
      <w:r w:rsidRPr="004A532F">
        <w:rPr>
          <w:rFonts w:asciiTheme="minorEastAsia" w:eastAsiaTheme="minorEastAsia" w:hAnsiTheme="minorEastAsia" w:hint="eastAsia"/>
          <w:sz w:val="18"/>
          <w:szCs w:val="18"/>
        </w:rPr>
        <w:t>、根据</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16</w:t>
      </w:r>
      <w:r w:rsidRPr="004A532F">
        <w:rPr>
          <w:rFonts w:asciiTheme="minorEastAsia" w:eastAsiaTheme="minorEastAsia" w:hAnsiTheme="minorEastAsia" w:hint="eastAsia"/>
          <w:sz w:val="18"/>
          <w:szCs w:val="18"/>
        </w:rPr>
        <w:t>日浙江省科学技术厅、浙江省财政厅、国家税务总局浙江省税务局联合颁发的证书编号</w:t>
      </w:r>
      <w:r w:rsidRPr="004A532F">
        <w:rPr>
          <w:rFonts w:asciiTheme="minorEastAsia" w:eastAsiaTheme="minorEastAsia" w:hAnsiTheme="minorEastAsia" w:cs="Times New Roman"/>
          <w:sz w:val="18"/>
          <w:szCs w:val="18"/>
        </w:rPr>
        <w:t>GR202133001040</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年。浙江色纺自</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、根据财政部公告</w:t>
      </w:r>
      <w:r w:rsidRPr="004A532F">
        <w:rPr>
          <w:rFonts w:asciiTheme="minorEastAsia" w:eastAsiaTheme="minorEastAsia" w:hAnsiTheme="minorEastAsia" w:cs="Times New Roman"/>
          <w:sz w:val="18"/>
          <w:szCs w:val="18"/>
        </w:rPr>
        <w:t>2020</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23</w:t>
      </w:r>
      <w:r w:rsidRPr="004A532F">
        <w:rPr>
          <w:rFonts w:asciiTheme="minorEastAsia" w:eastAsiaTheme="minorEastAsia" w:hAnsiTheme="minorEastAsia" w:hint="eastAsia"/>
          <w:sz w:val="18"/>
          <w:szCs w:val="18"/>
        </w:rPr>
        <w:t>号文件《财政部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国家发展改革委关于延续西部大开发企业所得税政策的公告》的规定，对符合</w:t>
      </w:r>
      <w:r w:rsidRPr="004A532F">
        <w:rPr>
          <w:rFonts w:asciiTheme="minorEastAsia" w:eastAsiaTheme="minorEastAsia" w:hAnsiTheme="minorEastAsia" w:cs="Times New Roman"/>
          <w:sz w:val="18"/>
          <w:szCs w:val="18"/>
        </w:rPr>
        <w:t>[</w:t>
      </w:r>
      <w:r w:rsidRPr="004A532F">
        <w:rPr>
          <w:rFonts w:asciiTheme="minorEastAsia" w:eastAsiaTheme="minorEastAsia" w:hAnsiTheme="minorEastAsia" w:hint="eastAsia"/>
          <w:sz w:val="18"/>
          <w:szCs w:val="18"/>
        </w:rPr>
        <w:t>西部地区鼓励类产业目录</w:t>
      </w:r>
      <w:r w:rsidRPr="004A532F">
        <w:rPr>
          <w:rFonts w:asciiTheme="minorEastAsia" w:eastAsiaTheme="minorEastAsia" w:hAnsiTheme="minorEastAsia" w:cs="Times New Roman"/>
          <w:sz w:val="18"/>
          <w:szCs w:val="18"/>
        </w:rPr>
        <w:t>]</w:t>
      </w:r>
      <w:r w:rsidRPr="004A532F">
        <w:rPr>
          <w:rFonts w:asciiTheme="minorEastAsia" w:eastAsiaTheme="minorEastAsia" w:hAnsiTheme="minorEastAsia" w:hint="eastAsia"/>
          <w:sz w:val="18"/>
          <w:szCs w:val="18"/>
        </w:rPr>
        <w:t>第二十大类中的第六项的新疆自治区境内的纺织企业，自</w:t>
      </w:r>
      <w:r w:rsidRPr="004A532F">
        <w:rPr>
          <w:rFonts w:asciiTheme="minorEastAsia" w:eastAsiaTheme="minorEastAsia" w:hAnsiTheme="minorEastAsia" w:cs="Times New Roman"/>
          <w:sz w:val="18"/>
          <w:szCs w:val="18"/>
        </w:rPr>
        <w:t>2020</w:t>
      </w:r>
      <w:r w:rsidRPr="004A532F">
        <w:rPr>
          <w:rFonts w:asciiTheme="minorEastAsia" w:eastAsiaTheme="minorEastAsia" w:hAnsiTheme="minorEastAsia" w:hint="eastAsia"/>
          <w:sz w:val="18"/>
          <w:szCs w:val="18"/>
        </w:rPr>
        <w:t>年至</w:t>
      </w:r>
      <w:r w:rsidRPr="004A532F">
        <w:rPr>
          <w:rFonts w:asciiTheme="minorEastAsia" w:eastAsiaTheme="minorEastAsia" w:hAnsiTheme="minorEastAsia" w:cs="Times New Roman"/>
          <w:sz w:val="18"/>
          <w:szCs w:val="18"/>
        </w:rPr>
        <w:t>2030</w:t>
      </w:r>
      <w:r w:rsidRPr="004A532F">
        <w:rPr>
          <w:rFonts w:asciiTheme="minorEastAsia" w:eastAsiaTheme="minorEastAsia" w:hAnsiTheme="minorEastAsia" w:hint="eastAsia"/>
          <w:sz w:val="18"/>
          <w:szCs w:val="18"/>
        </w:rPr>
        <w:t>年，对设在西部地区的鼓励类产业企业减按</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的税率征收企业所得税。据此，本公司之子公司阿克苏华孚、</w:t>
      </w:r>
      <w:proofErr w:type="gramStart"/>
      <w:r w:rsidRPr="004A532F">
        <w:rPr>
          <w:rFonts w:asciiTheme="minorEastAsia" w:eastAsiaTheme="minorEastAsia" w:hAnsiTheme="minorEastAsia" w:hint="eastAsia"/>
          <w:sz w:val="18"/>
          <w:szCs w:val="18"/>
        </w:rPr>
        <w:t>奎屯锦孚纺织</w:t>
      </w:r>
      <w:proofErr w:type="gramEnd"/>
      <w:r w:rsidRPr="004A532F">
        <w:rPr>
          <w:rFonts w:asciiTheme="minorEastAsia" w:eastAsiaTheme="minorEastAsia" w:hAnsiTheme="minorEastAsia" w:hint="eastAsia"/>
          <w:sz w:val="18"/>
          <w:szCs w:val="18"/>
        </w:rPr>
        <w:t>、</w:t>
      </w:r>
      <w:proofErr w:type="gramStart"/>
      <w:r w:rsidRPr="004A532F">
        <w:rPr>
          <w:rFonts w:asciiTheme="minorEastAsia" w:eastAsiaTheme="minorEastAsia" w:hAnsiTheme="minorEastAsia" w:hint="eastAsia"/>
          <w:sz w:val="18"/>
          <w:szCs w:val="18"/>
        </w:rPr>
        <w:t>新疆六孚纺织</w:t>
      </w:r>
      <w:proofErr w:type="gramEnd"/>
      <w:r w:rsidRPr="004A532F">
        <w:rPr>
          <w:rFonts w:asciiTheme="minorEastAsia" w:eastAsiaTheme="minorEastAsia" w:hAnsiTheme="minorEastAsia" w:hint="eastAsia"/>
          <w:sz w:val="18"/>
          <w:szCs w:val="18"/>
        </w:rPr>
        <w:t>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4</w:t>
      </w:r>
      <w:r w:rsidRPr="004A532F">
        <w:rPr>
          <w:rFonts w:asciiTheme="minorEastAsia" w:eastAsiaTheme="minorEastAsia" w:hAnsiTheme="minorEastAsia" w:hint="eastAsia"/>
          <w:sz w:val="18"/>
          <w:szCs w:val="18"/>
        </w:rPr>
        <w:t>、根据越南现行的</w:t>
      </w:r>
      <w:r w:rsidRPr="004A532F">
        <w:rPr>
          <w:rFonts w:asciiTheme="minorEastAsia" w:eastAsiaTheme="minorEastAsia" w:hAnsiTheme="minorEastAsia" w:cs="Times New Roman"/>
          <w:sz w:val="18"/>
          <w:szCs w:val="18"/>
        </w:rPr>
        <w:t xml:space="preserve">78/2014/TT-BTC </w:t>
      </w:r>
      <w:r w:rsidRPr="004A532F">
        <w:rPr>
          <w:rFonts w:asciiTheme="minorEastAsia" w:eastAsiaTheme="minorEastAsia" w:hAnsiTheme="minorEastAsia" w:hint="eastAsia"/>
          <w:sz w:val="18"/>
          <w:szCs w:val="18"/>
        </w:rPr>
        <w:t>和</w:t>
      </w:r>
      <w:r w:rsidRPr="004A532F">
        <w:rPr>
          <w:rFonts w:asciiTheme="minorEastAsia" w:eastAsiaTheme="minorEastAsia" w:hAnsiTheme="minorEastAsia" w:cs="Times New Roman"/>
          <w:sz w:val="18"/>
          <w:szCs w:val="18"/>
        </w:rPr>
        <w:t xml:space="preserve">96/2015/TT-BTC </w:t>
      </w:r>
      <w:r w:rsidRPr="004A532F">
        <w:rPr>
          <w:rFonts w:asciiTheme="minorEastAsia" w:eastAsiaTheme="minorEastAsia" w:hAnsiTheme="minorEastAsia" w:hint="eastAsia"/>
          <w:sz w:val="18"/>
          <w:szCs w:val="18"/>
        </w:rPr>
        <w:t>法规以及</w:t>
      </w:r>
      <w:r w:rsidRPr="004A532F">
        <w:rPr>
          <w:rFonts w:asciiTheme="minorEastAsia" w:eastAsiaTheme="minorEastAsia" w:hAnsiTheme="minorEastAsia" w:cs="Times New Roman"/>
          <w:sz w:val="18"/>
          <w:szCs w:val="18"/>
        </w:rPr>
        <w:t xml:space="preserve">57/2021/ND-CP </w:t>
      </w:r>
      <w:r w:rsidRPr="004A532F">
        <w:rPr>
          <w:rFonts w:asciiTheme="minorEastAsia" w:eastAsiaTheme="minorEastAsia" w:hAnsiTheme="minorEastAsia" w:hint="eastAsia"/>
          <w:sz w:val="18"/>
          <w:szCs w:val="18"/>
        </w:rPr>
        <w:t>和</w:t>
      </w:r>
      <w:r w:rsidRPr="004A532F">
        <w:rPr>
          <w:rFonts w:asciiTheme="minorEastAsia" w:eastAsiaTheme="minorEastAsia" w:hAnsiTheme="minorEastAsia" w:cs="Times New Roman"/>
          <w:sz w:val="18"/>
          <w:szCs w:val="18"/>
        </w:rPr>
        <w:t> 218/2013/ND-CP</w:t>
      </w:r>
      <w:r w:rsidRPr="004A532F">
        <w:rPr>
          <w:rFonts w:asciiTheme="minorEastAsia" w:eastAsiaTheme="minorEastAsia" w:hAnsiTheme="minorEastAsia" w:hint="eastAsia"/>
          <w:sz w:val="18"/>
          <w:szCs w:val="18"/>
        </w:rPr>
        <w:t>补充条例的规定，对符合越南国家发展战略需求的制造工业支持产品的投资项目实行一定的企业所得税优惠激励措施。</w:t>
      </w:r>
      <w:r w:rsidRPr="004A532F">
        <w:rPr>
          <w:rFonts w:asciiTheme="minorEastAsia" w:eastAsiaTheme="minorEastAsia" w:hAnsiTheme="minorEastAsia" w:cs="Times New Roman"/>
          <w:sz w:val="18"/>
          <w:szCs w:val="18"/>
        </w:rPr>
        <w:t>2021</w:t>
      </w:r>
      <w:r w:rsidRPr="004A532F">
        <w:rPr>
          <w:rFonts w:asciiTheme="minorEastAsia" w:eastAsiaTheme="minorEastAsia" w:hAnsiTheme="minorEastAsia" w:hint="eastAsia"/>
          <w:sz w:val="18"/>
          <w:szCs w:val="18"/>
        </w:rPr>
        <w:t>年根据越南相关政策规定，越南顺道又获得政府部门批准的“四免九减半”企业所得税优惠政策，据此，按照新税收优惠政策，越南顺道</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年免征纱线产品自产自销业务的企业所得税。</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5</w:t>
      </w:r>
      <w:r w:rsidRPr="004A532F">
        <w:rPr>
          <w:rFonts w:asciiTheme="minorEastAsia" w:eastAsiaTheme="minorEastAsia" w:hAnsiTheme="minorEastAsia" w:hint="eastAsia"/>
          <w:sz w:val="18"/>
          <w:szCs w:val="18"/>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沙雅银花、库车纵横、华孚恒丰、石河子</w:t>
      </w:r>
      <w:proofErr w:type="gramStart"/>
      <w:r w:rsidRPr="004A532F">
        <w:rPr>
          <w:rFonts w:asciiTheme="minorEastAsia" w:eastAsiaTheme="minorEastAsia" w:hAnsiTheme="minorEastAsia" w:hint="eastAsia"/>
          <w:sz w:val="18"/>
          <w:szCs w:val="18"/>
        </w:rPr>
        <w:t>宏盛棉业</w:t>
      </w:r>
      <w:proofErr w:type="gramEnd"/>
      <w:r w:rsidRPr="004A532F">
        <w:rPr>
          <w:rFonts w:asciiTheme="minorEastAsia" w:eastAsiaTheme="minorEastAsia" w:hAnsiTheme="minorEastAsia" w:hint="eastAsia"/>
          <w:sz w:val="18"/>
          <w:szCs w:val="18"/>
        </w:rPr>
        <w:t>、</w:t>
      </w:r>
      <w:proofErr w:type="gramStart"/>
      <w:r w:rsidRPr="004A532F">
        <w:rPr>
          <w:rFonts w:asciiTheme="minorEastAsia" w:eastAsiaTheme="minorEastAsia" w:hAnsiTheme="minorEastAsia" w:hint="eastAsia"/>
          <w:sz w:val="18"/>
          <w:szCs w:val="18"/>
        </w:rPr>
        <w:t>胡杨河宏盛棉</w:t>
      </w:r>
      <w:proofErr w:type="gramEnd"/>
      <w:r w:rsidRPr="004A532F">
        <w:rPr>
          <w:rFonts w:asciiTheme="minorEastAsia" w:eastAsiaTheme="minorEastAsia" w:hAnsiTheme="minorEastAsia" w:hint="eastAsia"/>
          <w:sz w:val="18"/>
          <w:szCs w:val="18"/>
        </w:rPr>
        <w:t>业、石河子</w:t>
      </w:r>
      <w:proofErr w:type="gramStart"/>
      <w:r w:rsidRPr="004A532F">
        <w:rPr>
          <w:rFonts w:asciiTheme="minorEastAsia" w:eastAsiaTheme="minorEastAsia" w:hAnsiTheme="minorEastAsia" w:hint="eastAsia"/>
          <w:sz w:val="18"/>
          <w:szCs w:val="18"/>
        </w:rPr>
        <w:t>宏丰棉业</w:t>
      </w:r>
      <w:proofErr w:type="gramEnd"/>
      <w:r w:rsidRPr="004A532F">
        <w:rPr>
          <w:rFonts w:asciiTheme="minorEastAsia" w:eastAsiaTheme="minorEastAsia" w:hAnsiTheme="minorEastAsia" w:hint="eastAsia"/>
          <w:sz w:val="18"/>
          <w:szCs w:val="18"/>
        </w:rPr>
        <w:t>、</w:t>
      </w:r>
      <w:proofErr w:type="gramStart"/>
      <w:r w:rsidRPr="004A532F">
        <w:rPr>
          <w:rFonts w:asciiTheme="minorEastAsia" w:eastAsiaTheme="minorEastAsia" w:hAnsiTheme="minorEastAsia" w:hint="eastAsia"/>
          <w:sz w:val="18"/>
          <w:szCs w:val="18"/>
        </w:rPr>
        <w:t>泽孚棉花</w:t>
      </w:r>
      <w:proofErr w:type="gramEnd"/>
      <w:r w:rsidRPr="004A532F">
        <w:rPr>
          <w:rFonts w:asciiTheme="minorEastAsia" w:eastAsiaTheme="minorEastAsia" w:hAnsiTheme="minorEastAsia" w:hint="eastAsia"/>
          <w:sz w:val="18"/>
          <w:szCs w:val="18"/>
        </w:rPr>
        <w:t>、盛孚棉业、</w:t>
      </w:r>
      <w:r w:rsidRPr="004A532F">
        <w:rPr>
          <w:rFonts w:asciiTheme="minorEastAsia" w:eastAsiaTheme="minorEastAsia" w:hAnsiTheme="minorEastAsia" w:hint="eastAsia"/>
          <w:color w:val="333333"/>
          <w:sz w:val="18"/>
          <w:szCs w:val="18"/>
          <w:shd w:val="clear" w:color="auto" w:fill="FFFFFF"/>
        </w:rPr>
        <w:t>喀什</w:t>
      </w:r>
      <w:proofErr w:type="gramStart"/>
      <w:r w:rsidRPr="004A532F">
        <w:rPr>
          <w:rFonts w:asciiTheme="minorEastAsia" w:eastAsiaTheme="minorEastAsia" w:hAnsiTheme="minorEastAsia" w:hint="eastAsia"/>
          <w:color w:val="333333"/>
          <w:sz w:val="18"/>
          <w:szCs w:val="18"/>
          <w:shd w:val="clear" w:color="auto" w:fill="FFFFFF"/>
        </w:rPr>
        <w:t>暄</w:t>
      </w:r>
      <w:proofErr w:type="gramEnd"/>
      <w:r w:rsidRPr="004A532F">
        <w:rPr>
          <w:rFonts w:asciiTheme="minorEastAsia" w:eastAsiaTheme="minorEastAsia" w:hAnsiTheme="minorEastAsia" w:hint="eastAsia"/>
          <w:color w:val="333333"/>
          <w:sz w:val="18"/>
          <w:szCs w:val="18"/>
          <w:shd w:val="clear" w:color="auto" w:fill="FFFFFF"/>
        </w:rPr>
        <w:t>纺棉花</w:t>
      </w:r>
      <w:r w:rsidRPr="004A532F">
        <w:rPr>
          <w:rFonts w:asciiTheme="minorEastAsia" w:eastAsiaTheme="minorEastAsia" w:hAnsiTheme="minorEastAsia" w:hint="eastAsia"/>
          <w:sz w:val="18"/>
          <w:szCs w:val="18"/>
        </w:rPr>
        <w:t>免征企业所得税。</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6</w:t>
      </w:r>
      <w:r w:rsidRPr="004A532F">
        <w:rPr>
          <w:rFonts w:asciiTheme="minorEastAsia" w:eastAsiaTheme="minorEastAsia" w:hAnsiTheme="minorEastAsia" w:hint="eastAsia"/>
          <w:sz w:val="18"/>
          <w:szCs w:val="18"/>
        </w:rPr>
        <w:t>、根据</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11</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28</w:t>
      </w:r>
      <w:r w:rsidRPr="004A532F">
        <w:rPr>
          <w:rFonts w:asciiTheme="minorEastAsia" w:eastAsiaTheme="minorEastAsia" w:hAnsiTheme="minorEastAsia" w:hint="eastAsia"/>
          <w:sz w:val="18"/>
          <w:szCs w:val="18"/>
        </w:rPr>
        <w:t>日新疆维吾尔自治区科学技术厅、新疆维吾尔自治区财政厅、国家税务总局新疆维吾尔自治区税务局联合颁发的证书编号</w:t>
      </w:r>
      <w:r w:rsidRPr="004A532F">
        <w:rPr>
          <w:rFonts w:asciiTheme="minorEastAsia" w:eastAsiaTheme="minorEastAsia" w:hAnsiTheme="minorEastAsia" w:cs="Times New Roman"/>
          <w:sz w:val="18"/>
          <w:szCs w:val="18"/>
        </w:rPr>
        <w:t>GR202265000504</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年。阿克苏</w:t>
      </w:r>
      <w:proofErr w:type="gramStart"/>
      <w:r w:rsidRPr="004A532F">
        <w:rPr>
          <w:rFonts w:asciiTheme="minorEastAsia" w:eastAsiaTheme="minorEastAsia" w:hAnsiTheme="minorEastAsia" w:hint="eastAsia"/>
          <w:sz w:val="18"/>
          <w:szCs w:val="18"/>
        </w:rPr>
        <w:t>标信自</w:t>
      </w:r>
      <w:proofErr w:type="gramEnd"/>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7</w:t>
      </w:r>
      <w:r w:rsidRPr="004A532F">
        <w:rPr>
          <w:rFonts w:asciiTheme="minorEastAsia" w:eastAsiaTheme="minorEastAsia" w:hAnsiTheme="minorEastAsia" w:hint="eastAsia"/>
          <w:sz w:val="18"/>
          <w:szCs w:val="18"/>
        </w:rPr>
        <w:t>、新加坡注册企业首</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万新币利润，减免税务</w:t>
      </w:r>
      <w:r w:rsidRPr="004A532F">
        <w:rPr>
          <w:rFonts w:asciiTheme="minorEastAsia" w:eastAsiaTheme="minorEastAsia" w:hAnsiTheme="minorEastAsia" w:cs="Times New Roman"/>
          <w:sz w:val="18"/>
          <w:szCs w:val="18"/>
        </w:rPr>
        <w:t>75%</w:t>
      </w:r>
      <w:r w:rsidRPr="004A532F">
        <w:rPr>
          <w:rFonts w:asciiTheme="minorEastAsia" w:eastAsiaTheme="minorEastAsia" w:hAnsiTheme="minorEastAsia" w:hint="eastAsia"/>
          <w:sz w:val="18"/>
          <w:szCs w:val="18"/>
        </w:rPr>
        <w:t>，税率为</w:t>
      </w:r>
      <w:r w:rsidRPr="004A532F">
        <w:rPr>
          <w:rFonts w:asciiTheme="minorEastAsia" w:eastAsiaTheme="minorEastAsia" w:hAnsiTheme="minorEastAsia" w:cs="Times New Roman"/>
          <w:sz w:val="18"/>
          <w:szCs w:val="18"/>
        </w:rPr>
        <w:t>4.25%</w:t>
      </w:r>
      <w:r w:rsidRPr="004A532F">
        <w:rPr>
          <w:rFonts w:asciiTheme="minorEastAsia" w:eastAsiaTheme="minorEastAsia" w:hAnsiTheme="minorEastAsia" w:hint="eastAsia"/>
          <w:sz w:val="18"/>
          <w:szCs w:val="18"/>
        </w:rPr>
        <w:t>；企业后续</w:t>
      </w:r>
      <w:r w:rsidRPr="004A532F">
        <w:rPr>
          <w:rFonts w:asciiTheme="minorEastAsia" w:eastAsiaTheme="minorEastAsia" w:hAnsiTheme="minorEastAsia" w:cs="Times New Roman"/>
          <w:sz w:val="18"/>
          <w:szCs w:val="18"/>
        </w:rPr>
        <w:t>19</w:t>
      </w:r>
      <w:r w:rsidRPr="004A532F">
        <w:rPr>
          <w:rFonts w:asciiTheme="minorEastAsia" w:eastAsiaTheme="minorEastAsia" w:hAnsiTheme="minorEastAsia" w:hint="eastAsia"/>
          <w:sz w:val="18"/>
          <w:szCs w:val="18"/>
        </w:rPr>
        <w:t>万新币利润，享有减免税务</w:t>
      </w:r>
      <w:r w:rsidRPr="004A532F">
        <w:rPr>
          <w:rFonts w:asciiTheme="minorEastAsia" w:eastAsiaTheme="minorEastAsia" w:hAnsiTheme="minorEastAsia" w:cs="Times New Roman"/>
          <w:sz w:val="18"/>
          <w:szCs w:val="18"/>
        </w:rPr>
        <w:t>50%</w:t>
      </w:r>
      <w:r w:rsidRPr="004A532F">
        <w:rPr>
          <w:rFonts w:asciiTheme="minorEastAsia" w:eastAsiaTheme="minorEastAsia" w:hAnsiTheme="minorEastAsia" w:hint="eastAsia"/>
          <w:sz w:val="18"/>
          <w:szCs w:val="18"/>
        </w:rPr>
        <w:t>；企业超出</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万新币的利润部分，按照</w:t>
      </w:r>
      <w:r w:rsidRPr="004A532F">
        <w:rPr>
          <w:rFonts w:asciiTheme="minorEastAsia" w:eastAsiaTheme="minorEastAsia" w:hAnsiTheme="minorEastAsia" w:cs="Times New Roman"/>
          <w:sz w:val="18"/>
          <w:szCs w:val="18"/>
        </w:rPr>
        <w:t>17%</w:t>
      </w:r>
      <w:r w:rsidRPr="004A532F">
        <w:rPr>
          <w:rFonts w:asciiTheme="minorEastAsia" w:eastAsiaTheme="minorEastAsia" w:hAnsiTheme="minorEastAsia" w:hint="eastAsia"/>
          <w:sz w:val="18"/>
          <w:szCs w:val="18"/>
        </w:rPr>
        <w:t>的税率正常征收。</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lastRenderedPageBreak/>
        <w:t>8</w:t>
      </w:r>
      <w:r w:rsidRPr="004A532F">
        <w:rPr>
          <w:rFonts w:asciiTheme="minorEastAsia" w:eastAsiaTheme="minorEastAsia" w:hAnsiTheme="minorEastAsia" w:hint="eastAsia"/>
          <w:sz w:val="18"/>
          <w:szCs w:val="18"/>
        </w:rPr>
        <w:t>、根据</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24</w:t>
      </w:r>
      <w:r w:rsidRPr="004A532F">
        <w:rPr>
          <w:rFonts w:asciiTheme="minorEastAsia" w:eastAsiaTheme="minorEastAsia" w:hAnsiTheme="minorEastAsia" w:hint="eastAsia"/>
          <w:sz w:val="18"/>
          <w:szCs w:val="18"/>
        </w:rPr>
        <w:t>日浙江省科学技术厅、浙江省财政厅、国家税务总局浙江省税务局联合颁发的证书编号</w:t>
      </w:r>
      <w:r w:rsidRPr="004A532F">
        <w:rPr>
          <w:rFonts w:asciiTheme="minorEastAsia" w:eastAsiaTheme="minorEastAsia" w:hAnsiTheme="minorEastAsia" w:cs="Times New Roman"/>
          <w:sz w:val="18"/>
          <w:szCs w:val="18"/>
        </w:rPr>
        <w:t>GR202233000592</w:t>
      </w:r>
      <w:r w:rsidRPr="004A532F">
        <w:rPr>
          <w:rFonts w:asciiTheme="minorEastAsia" w:eastAsiaTheme="minorEastAsia" w:hAnsiTheme="minorEastAsia" w:hint="eastAsia"/>
          <w:sz w:val="18"/>
          <w:szCs w:val="18"/>
        </w:rPr>
        <w:t>的《高新技术企业证书》，有效期为</w:t>
      </w:r>
      <w:r w:rsidRPr="004A532F">
        <w:rPr>
          <w:rFonts w:asciiTheme="minorEastAsia" w:eastAsiaTheme="minorEastAsia" w:hAnsiTheme="minorEastAsia" w:cs="Times New Roman"/>
          <w:sz w:val="18"/>
          <w:szCs w:val="18"/>
        </w:rPr>
        <w:t>3</w:t>
      </w:r>
      <w:r w:rsidRPr="004A532F">
        <w:rPr>
          <w:rFonts w:asciiTheme="minorEastAsia" w:eastAsiaTheme="minorEastAsia" w:hAnsiTheme="minorEastAsia" w:hint="eastAsia"/>
          <w:sz w:val="18"/>
          <w:szCs w:val="18"/>
        </w:rPr>
        <w:t>年。卡拉美拉自</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年度起享受高新技术企业税收优惠税率，即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年半年度享受</w:t>
      </w:r>
      <w:r w:rsidRPr="004A532F">
        <w:rPr>
          <w:rFonts w:asciiTheme="minorEastAsia" w:eastAsiaTheme="minorEastAsia" w:hAnsiTheme="minorEastAsia" w:cs="Times New Roman"/>
          <w:sz w:val="18"/>
          <w:szCs w:val="18"/>
        </w:rPr>
        <w:t>15%</w:t>
      </w:r>
      <w:r w:rsidRPr="004A532F">
        <w:rPr>
          <w:rFonts w:asciiTheme="minorEastAsia" w:eastAsiaTheme="minorEastAsia" w:hAnsiTheme="minorEastAsia" w:hint="eastAsia"/>
          <w:sz w:val="18"/>
          <w:szCs w:val="18"/>
        </w:rPr>
        <w:t>的企业所得税优惠税率。</w:t>
      </w:r>
    </w:p>
    <w:p w:rsidR="00BE788E" w:rsidRPr="004A532F" w:rsidRDefault="00BE788E" w:rsidP="004A532F">
      <w:pPr>
        <w:pStyle w:val="a3"/>
        <w:spacing w:before="120" w:beforeAutospacing="0" w:after="0" w:afterAutospacing="0"/>
        <w:ind w:firstLine="425"/>
        <w:divId w:val="161506700"/>
        <w:rPr>
          <w:rFonts w:asciiTheme="minorEastAsia" w:eastAsiaTheme="minorEastAsia" w:hAnsiTheme="minorEastAsia"/>
        </w:rPr>
      </w:pPr>
      <w:r w:rsidRPr="004A532F">
        <w:rPr>
          <w:rFonts w:asciiTheme="minorEastAsia" w:eastAsiaTheme="minorEastAsia" w:hAnsiTheme="minorEastAsia" w:cs="Times New Roman"/>
          <w:sz w:val="18"/>
          <w:szCs w:val="18"/>
        </w:rPr>
        <w:t>9</w:t>
      </w:r>
      <w:r w:rsidRPr="004A532F">
        <w:rPr>
          <w:rFonts w:asciiTheme="minorEastAsia" w:eastAsiaTheme="minorEastAsia" w:hAnsiTheme="minorEastAsia" w:hint="eastAsia"/>
          <w:sz w:val="18"/>
          <w:szCs w:val="18"/>
        </w:rPr>
        <w:t>、根据《财政部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税务总局关于进一步实施小微企业所得税优惠政策的公告》（财政部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税务总局公告</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13</w:t>
      </w:r>
      <w:r w:rsidRPr="004A532F">
        <w:rPr>
          <w:rFonts w:asciiTheme="minorEastAsia" w:eastAsiaTheme="minorEastAsia" w:hAnsiTheme="minorEastAsia" w:hint="eastAsia"/>
          <w:sz w:val="18"/>
          <w:szCs w:val="18"/>
        </w:rPr>
        <w:t>号）、《财政部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税务总局关于小微企业和个体工商户所得税优惠政策的公告》（财政部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税务总局公告</w:t>
      </w:r>
      <w:r w:rsidRPr="004A532F">
        <w:rPr>
          <w:rFonts w:asciiTheme="minorEastAsia" w:eastAsiaTheme="minorEastAsia" w:hAnsiTheme="minorEastAsia" w:cs="Times New Roman"/>
          <w:sz w:val="18"/>
          <w:szCs w:val="18"/>
        </w:rPr>
        <w:t>2023</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6</w:t>
      </w:r>
      <w:r w:rsidRPr="004A532F">
        <w:rPr>
          <w:rFonts w:asciiTheme="minorEastAsia" w:eastAsiaTheme="minorEastAsia" w:hAnsiTheme="minorEastAsia" w:hint="eastAsia"/>
          <w:sz w:val="18"/>
          <w:szCs w:val="18"/>
        </w:rPr>
        <w:t>号）、《财政部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税务总局关于进一步支持小微企业和个体工商户发展有关税费政策的公告》（财政部</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税务总局公告</w:t>
      </w:r>
      <w:r w:rsidRPr="004A532F">
        <w:rPr>
          <w:rFonts w:asciiTheme="minorEastAsia" w:eastAsiaTheme="minorEastAsia" w:hAnsiTheme="minorEastAsia" w:cs="Times New Roman"/>
          <w:sz w:val="18"/>
          <w:szCs w:val="18"/>
        </w:rPr>
        <w:t>2023</w:t>
      </w:r>
      <w:r w:rsidRPr="004A532F">
        <w:rPr>
          <w:rFonts w:asciiTheme="minorEastAsia" w:eastAsiaTheme="minorEastAsia" w:hAnsiTheme="minorEastAsia" w:hint="eastAsia"/>
          <w:sz w:val="18"/>
          <w:szCs w:val="18"/>
        </w:rPr>
        <w:t>年第</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号</w:t>
      </w:r>
      <w:r w:rsidRPr="004A532F">
        <w:rPr>
          <w:rFonts w:asciiTheme="minorEastAsia" w:eastAsiaTheme="minorEastAsia" w:hAnsiTheme="minorEastAsia" w:cs="Times New Roman"/>
          <w:sz w:val="18"/>
          <w:szCs w:val="18"/>
        </w:rPr>
        <w:t> </w:t>
      </w:r>
      <w:r w:rsidRPr="004A532F">
        <w:rPr>
          <w:rFonts w:asciiTheme="minorEastAsia" w:eastAsiaTheme="minorEastAsia" w:hAnsiTheme="minorEastAsia" w:hint="eastAsia"/>
          <w:sz w:val="18"/>
          <w:szCs w:val="18"/>
        </w:rPr>
        <w:t>）的规定，自</w:t>
      </w:r>
      <w:r w:rsidRPr="004A532F">
        <w:rPr>
          <w:rFonts w:asciiTheme="minorEastAsia" w:eastAsiaTheme="minorEastAsia" w:hAnsiTheme="minorEastAsia" w:cs="Times New Roman"/>
          <w:sz w:val="18"/>
          <w:szCs w:val="18"/>
        </w:rPr>
        <w:t>2022</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日至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31</w:t>
      </w:r>
      <w:r w:rsidRPr="004A532F">
        <w:rPr>
          <w:rFonts w:asciiTheme="minorEastAsia" w:eastAsiaTheme="minorEastAsia" w:hAnsiTheme="minorEastAsia" w:hint="eastAsia"/>
          <w:sz w:val="18"/>
          <w:szCs w:val="18"/>
        </w:rPr>
        <w:t>日，对小型微利企业年应纳税所得额超过</w:t>
      </w:r>
      <w:r w:rsidRPr="004A532F">
        <w:rPr>
          <w:rFonts w:asciiTheme="minorEastAsia" w:eastAsiaTheme="minorEastAsia" w:hAnsiTheme="minorEastAsia" w:cs="Times New Roman"/>
          <w:sz w:val="18"/>
          <w:szCs w:val="18"/>
        </w:rPr>
        <w:t>100</w:t>
      </w:r>
      <w:r w:rsidRPr="004A532F">
        <w:rPr>
          <w:rFonts w:asciiTheme="minorEastAsia" w:eastAsiaTheme="minorEastAsia" w:hAnsiTheme="minorEastAsia" w:hint="eastAsia"/>
          <w:sz w:val="18"/>
          <w:szCs w:val="18"/>
        </w:rPr>
        <w:t>万元但不超过</w:t>
      </w:r>
      <w:r w:rsidRPr="004A532F">
        <w:rPr>
          <w:rFonts w:asciiTheme="minorEastAsia" w:eastAsiaTheme="minorEastAsia" w:hAnsiTheme="minorEastAsia" w:cs="Times New Roman"/>
          <w:sz w:val="18"/>
          <w:szCs w:val="18"/>
        </w:rPr>
        <w:t>300</w:t>
      </w:r>
      <w:r w:rsidRPr="004A532F">
        <w:rPr>
          <w:rFonts w:asciiTheme="minorEastAsia" w:eastAsiaTheme="minorEastAsia" w:hAnsiTheme="minorEastAsia" w:hint="eastAsia"/>
          <w:sz w:val="18"/>
          <w:szCs w:val="18"/>
        </w:rPr>
        <w:t>万元的部分，减按</w:t>
      </w:r>
      <w:r w:rsidRPr="004A532F">
        <w:rPr>
          <w:rFonts w:asciiTheme="minorEastAsia" w:eastAsiaTheme="minorEastAsia" w:hAnsiTheme="minorEastAsia" w:cs="Times New Roman"/>
          <w:sz w:val="18"/>
          <w:szCs w:val="18"/>
        </w:rPr>
        <w:t>25%</w:t>
      </w:r>
      <w:r w:rsidRPr="004A532F">
        <w:rPr>
          <w:rFonts w:asciiTheme="minorEastAsia" w:eastAsiaTheme="minorEastAsia" w:hAnsiTheme="minorEastAsia" w:hint="eastAsia"/>
          <w:sz w:val="18"/>
          <w:szCs w:val="18"/>
        </w:rPr>
        <w:t>计入应纳税所得额，按</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的税率缴纳企业所得税。自</w:t>
      </w:r>
      <w:r w:rsidRPr="004A532F">
        <w:rPr>
          <w:rFonts w:asciiTheme="minorEastAsia" w:eastAsiaTheme="minorEastAsia" w:hAnsiTheme="minorEastAsia" w:cs="Times New Roman"/>
          <w:sz w:val="18"/>
          <w:szCs w:val="18"/>
        </w:rPr>
        <w:t>2023</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1</w:t>
      </w:r>
      <w:r w:rsidRPr="004A532F">
        <w:rPr>
          <w:rFonts w:asciiTheme="minorEastAsia" w:eastAsiaTheme="minorEastAsia" w:hAnsiTheme="minorEastAsia" w:hint="eastAsia"/>
          <w:sz w:val="18"/>
          <w:szCs w:val="18"/>
        </w:rPr>
        <w:t>日至</w:t>
      </w:r>
      <w:r w:rsidRPr="004A532F">
        <w:rPr>
          <w:rFonts w:asciiTheme="minorEastAsia" w:eastAsiaTheme="minorEastAsia" w:hAnsiTheme="minorEastAsia" w:cs="Times New Roman"/>
          <w:sz w:val="18"/>
          <w:szCs w:val="18"/>
        </w:rPr>
        <w:t>2024</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31</w:t>
      </w:r>
      <w:r w:rsidRPr="004A532F">
        <w:rPr>
          <w:rFonts w:asciiTheme="minorEastAsia" w:eastAsiaTheme="minorEastAsia" w:hAnsiTheme="minorEastAsia" w:hint="eastAsia"/>
          <w:sz w:val="18"/>
          <w:szCs w:val="18"/>
        </w:rPr>
        <w:t>日，对小型微利企业年应纳税所得额不超过</w:t>
      </w:r>
      <w:r w:rsidRPr="004A532F">
        <w:rPr>
          <w:rFonts w:asciiTheme="minorEastAsia" w:eastAsiaTheme="minorEastAsia" w:hAnsiTheme="minorEastAsia" w:cs="Times New Roman"/>
          <w:sz w:val="18"/>
          <w:szCs w:val="18"/>
        </w:rPr>
        <w:t>100</w:t>
      </w:r>
      <w:r w:rsidRPr="004A532F">
        <w:rPr>
          <w:rFonts w:asciiTheme="minorEastAsia" w:eastAsiaTheme="minorEastAsia" w:hAnsiTheme="minorEastAsia" w:hint="eastAsia"/>
          <w:sz w:val="18"/>
          <w:szCs w:val="18"/>
        </w:rPr>
        <w:t>万元的部分，减按</w:t>
      </w:r>
      <w:r w:rsidRPr="004A532F">
        <w:rPr>
          <w:rFonts w:asciiTheme="minorEastAsia" w:eastAsiaTheme="minorEastAsia" w:hAnsiTheme="minorEastAsia" w:cs="Times New Roman"/>
          <w:sz w:val="18"/>
          <w:szCs w:val="18"/>
        </w:rPr>
        <w:t>25%</w:t>
      </w:r>
      <w:r w:rsidRPr="004A532F">
        <w:rPr>
          <w:rFonts w:asciiTheme="minorEastAsia" w:eastAsiaTheme="minorEastAsia" w:hAnsiTheme="minorEastAsia" w:hint="eastAsia"/>
          <w:sz w:val="18"/>
          <w:szCs w:val="18"/>
        </w:rPr>
        <w:t>计入应纳税所得额，按</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的税率缴纳企业所得税。对小型微利企业减按</w:t>
      </w:r>
      <w:r w:rsidRPr="004A532F">
        <w:rPr>
          <w:rFonts w:asciiTheme="minorEastAsia" w:eastAsiaTheme="minorEastAsia" w:hAnsiTheme="minorEastAsia" w:cs="Times New Roman"/>
          <w:sz w:val="18"/>
          <w:szCs w:val="18"/>
        </w:rPr>
        <w:t>25%</w:t>
      </w:r>
      <w:r w:rsidRPr="004A532F">
        <w:rPr>
          <w:rFonts w:asciiTheme="minorEastAsia" w:eastAsiaTheme="minorEastAsia" w:hAnsiTheme="minorEastAsia" w:hint="eastAsia"/>
          <w:sz w:val="18"/>
          <w:szCs w:val="18"/>
        </w:rPr>
        <w:t>计算应纳税所得额，按</w:t>
      </w:r>
      <w:r w:rsidRPr="004A532F">
        <w:rPr>
          <w:rFonts w:asciiTheme="minorEastAsia" w:eastAsiaTheme="minorEastAsia" w:hAnsiTheme="minorEastAsia" w:cs="Times New Roman"/>
          <w:sz w:val="18"/>
          <w:szCs w:val="18"/>
        </w:rPr>
        <w:t>20%</w:t>
      </w:r>
      <w:r w:rsidRPr="004A532F">
        <w:rPr>
          <w:rFonts w:asciiTheme="minorEastAsia" w:eastAsiaTheme="minorEastAsia" w:hAnsiTheme="minorEastAsia" w:hint="eastAsia"/>
          <w:sz w:val="18"/>
          <w:szCs w:val="18"/>
        </w:rPr>
        <w:t>的税率缴纳企业所得税政策，延续执行至</w:t>
      </w:r>
      <w:r w:rsidRPr="004A532F">
        <w:rPr>
          <w:rFonts w:asciiTheme="minorEastAsia" w:eastAsiaTheme="minorEastAsia" w:hAnsiTheme="minorEastAsia" w:cs="Times New Roman"/>
          <w:sz w:val="18"/>
          <w:szCs w:val="18"/>
        </w:rPr>
        <w:t>2027</w:t>
      </w:r>
      <w:r w:rsidRPr="004A532F">
        <w:rPr>
          <w:rFonts w:asciiTheme="minorEastAsia" w:eastAsiaTheme="minorEastAsia" w:hAnsiTheme="minorEastAsia" w:hint="eastAsia"/>
          <w:sz w:val="18"/>
          <w:szCs w:val="18"/>
        </w:rPr>
        <w:t>年</w:t>
      </w:r>
      <w:r w:rsidRPr="004A532F">
        <w:rPr>
          <w:rFonts w:asciiTheme="minorEastAsia" w:eastAsiaTheme="minorEastAsia" w:hAnsiTheme="minorEastAsia" w:cs="Times New Roman"/>
          <w:sz w:val="18"/>
          <w:szCs w:val="18"/>
        </w:rPr>
        <w:t>12</w:t>
      </w:r>
      <w:r w:rsidRPr="004A532F">
        <w:rPr>
          <w:rFonts w:asciiTheme="minorEastAsia" w:eastAsiaTheme="minorEastAsia" w:hAnsiTheme="minorEastAsia" w:hint="eastAsia"/>
          <w:sz w:val="18"/>
          <w:szCs w:val="18"/>
        </w:rPr>
        <w:t>月</w:t>
      </w:r>
      <w:r w:rsidRPr="004A532F">
        <w:rPr>
          <w:rFonts w:asciiTheme="minorEastAsia" w:eastAsiaTheme="minorEastAsia" w:hAnsiTheme="minorEastAsia" w:cs="Times New Roman"/>
          <w:sz w:val="18"/>
          <w:szCs w:val="18"/>
        </w:rPr>
        <w:t>31</w:t>
      </w:r>
      <w:r w:rsidRPr="004A532F">
        <w:rPr>
          <w:rFonts w:asciiTheme="minorEastAsia" w:eastAsiaTheme="minorEastAsia" w:hAnsiTheme="minorEastAsia" w:hint="eastAsia"/>
          <w:sz w:val="18"/>
          <w:szCs w:val="18"/>
        </w:rPr>
        <w:t>日。上海清澄、阿克苏新能源、江苏清澄、浙江阿大互联、上海华孚色纺、</w:t>
      </w:r>
      <w:proofErr w:type="gramStart"/>
      <w:r w:rsidRPr="004A532F">
        <w:rPr>
          <w:rFonts w:asciiTheme="minorEastAsia" w:eastAsiaTheme="minorEastAsia" w:hAnsiTheme="minorEastAsia" w:hint="eastAsia"/>
          <w:sz w:val="18"/>
          <w:szCs w:val="18"/>
        </w:rPr>
        <w:t>菁英电</w:t>
      </w:r>
      <w:proofErr w:type="gramEnd"/>
      <w:r w:rsidRPr="004A532F">
        <w:rPr>
          <w:rFonts w:asciiTheme="minorEastAsia" w:eastAsiaTheme="minorEastAsia" w:hAnsiTheme="minorEastAsia" w:hint="eastAsia"/>
          <w:sz w:val="18"/>
          <w:szCs w:val="18"/>
        </w:rPr>
        <w:t>商、</w:t>
      </w:r>
      <w:proofErr w:type="gramStart"/>
      <w:r w:rsidRPr="004A532F">
        <w:rPr>
          <w:rFonts w:asciiTheme="minorEastAsia" w:eastAsiaTheme="minorEastAsia" w:hAnsiTheme="minorEastAsia" w:hint="eastAsia"/>
          <w:sz w:val="18"/>
          <w:szCs w:val="18"/>
        </w:rPr>
        <w:t>菁</w:t>
      </w:r>
      <w:proofErr w:type="gramEnd"/>
      <w:r w:rsidRPr="004A532F">
        <w:rPr>
          <w:rFonts w:asciiTheme="minorEastAsia" w:eastAsiaTheme="minorEastAsia" w:hAnsiTheme="minorEastAsia" w:hint="eastAsia"/>
          <w:sz w:val="18"/>
          <w:szCs w:val="18"/>
        </w:rPr>
        <w:t>英创业、浙江名</w:t>
      </w:r>
      <w:proofErr w:type="gramStart"/>
      <w:r w:rsidRPr="004A532F">
        <w:rPr>
          <w:rFonts w:asciiTheme="minorEastAsia" w:eastAsiaTheme="minorEastAsia" w:hAnsiTheme="minorEastAsia" w:hint="eastAsia"/>
          <w:sz w:val="18"/>
          <w:szCs w:val="18"/>
        </w:rPr>
        <w:t>鲲</w:t>
      </w:r>
      <w:proofErr w:type="gramEnd"/>
      <w:r w:rsidRPr="004A532F">
        <w:rPr>
          <w:rFonts w:asciiTheme="minorEastAsia" w:eastAsiaTheme="minorEastAsia" w:hAnsiTheme="minorEastAsia" w:hint="eastAsia"/>
          <w:sz w:val="18"/>
          <w:szCs w:val="18"/>
        </w:rPr>
        <w:t>等子公司按照政策适用该税收优惠政策。</w:t>
      </w:r>
    </w:p>
    <w:p w:rsidR="00037019" w:rsidRDefault="00BE788E">
      <w:pPr>
        <w:pStyle w:val="3"/>
        <w:spacing w:line="280" w:lineRule="exact"/>
        <w:jc w:val="left"/>
        <w:rPr>
          <w:rFonts w:ascii="宋体" w:hAnsi="宋体" w:cs="宋体"/>
          <w:b/>
          <w:bCs/>
        </w:rPr>
      </w:pPr>
      <w:bookmarkStart w:id="178" w:name="_Toc989067"/>
      <w:r>
        <w:rPr>
          <w:rFonts w:ascii="宋体" w:hAnsi="宋体" w:cs="宋体"/>
          <w:b/>
          <w:bCs/>
        </w:rPr>
        <w:t>3、其他</w:t>
      </w:r>
      <w:bookmarkEnd w:id="178"/>
    </w:p>
    <w:p w:rsidR="00BE788E" w:rsidRDefault="00BE788E">
      <w:pPr>
        <w:pStyle w:val="a3"/>
        <w:divId w:val="1244099998"/>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179" w:name="_Toc989068"/>
      <w:r>
        <w:rPr>
          <w:rFonts w:ascii="宋体" w:eastAsia="宋体" w:hAnsi="宋体" w:cs="宋体"/>
          <w:b/>
          <w:bCs/>
          <w:sz w:val="24"/>
          <w:szCs w:val="24"/>
        </w:rPr>
        <w:t>七、合并财务报表项目注释</w:t>
      </w:r>
      <w:bookmarkEnd w:id="179"/>
    </w:p>
    <w:p w:rsidR="00037019" w:rsidRDefault="00BE788E">
      <w:pPr>
        <w:pStyle w:val="3"/>
        <w:spacing w:line="280" w:lineRule="exact"/>
        <w:jc w:val="left"/>
        <w:rPr>
          <w:rFonts w:ascii="宋体" w:hAnsi="宋体" w:cs="宋体"/>
          <w:b/>
          <w:bCs/>
        </w:rPr>
      </w:pPr>
      <w:bookmarkStart w:id="180" w:name="_Toc989069"/>
      <w:r>
        <w:rPr>
          <w:rFonts w:ascii="宋体" w:hAnsi="宋体" w:cs="宋体"/>
          <w:b/>
          <w:bCs/>
        </w:rPr>
        <w:t>1、货币资金</w:t>
      </w:r>
      <w:bookmarkEnd w:id="18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1,512,065.48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70,994.31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1,394,708,080.32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1,837,036,749.85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2,360,331,856.38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799,515,306.11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3,756,552,002.18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2,636,623,050.27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其中：存放在境外的款项总额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182,866,524.94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522,615,932.32</w:t>
            </w:r>
          </w:p>
        </w:tc>
      </w:tr>
    </w:tbl>
    <w:p w:rsidR="00BE788E" w:rsidRDefault="00BE788E">
      <w:pPr>
        <w:pStyle w:val="a3"/>
        <w:divId w:val="214320391"/>
        <w:rPr>
          <w:sz w:val="18"/>
          <w:szCs w:val="18"/>
        </w:rPr>
      </w:pPr>
      <w:r>
        <w:rPr>
          <w:rFonts w:hint="eastAsia"/>
          <w:sz w:val="18"/>
          <w:szCs w:val="18"/>
        </w:rPr>
        <w:t>其中受限制的货币资金明细如下：</w:t>
      </w:r>
    </w:p>
    <w:p w:rsidR="004A532F" w:rsidRDefault="004A532F" w:rsidP="002747D2">
      <w:pPr>
        <w:pStyle w:val="a3"/>
        <w:spacing w:before="0" w:beforeAutospacing="0" w:after="0" w:afterAutospacing="0"/>
        <w:jc w:val="right"/>
        <w:divId w:val="214320391"/>
        <w:rPr>
          <w:sz w:val="18"/>
          <w:szCs w:val="18"/>
        </w:rPr>
      </w:pPr>
      <w:r>
        <w:rPr>
          <w:rFonts w:hint="eastAsia"/>
          <w:sz w:val="18"/>
          <w:szCs w:val="18"/>
        </w:rPr>
        <w:t>单位：元</w:t>
      </w:r>
    </w:p>
    <w:tbl>
      <w:tblPr>
        <w:tblW w:w="9640" w:type="dxa"/>
        <w:tblInd w:w="-127" w:type="dxa"/>
        <w:tblCellMar>
          <w:left w:w="0" w:type="dxa"/>
          <w:right w:w="0" w:type="dxa"/>
        </w:tblCellMar>
        <w:tblLook w:val="04A0" w:firstRow="1" w:lastRow="0" w:firstColumn="1" w:lastColumn="0" w:noHBand="0" w:noVBand="1"/>
      </w:tblPr>
      <w:tblGrid>
        <w:gridCol w:w="3261"/>
        <w:gridCol w:w="3189"/>
        <w:gridCol w:w="3190"/>
      </w:tblGrid>
      <w:tr w:rsidR="00BE788E" w:rsidRPr="004A532F" w:rsidTr="002747D2">
        <w:trPr>
          <w:divId w:val="214320391"/>
          <w:trHeight w:val="34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center"/>
              <w:rPr>
                <w:rFonts w:asciiTheme="minorEastAsia" w:hAnsiTheme="minorEastAsia" w:cs="宋体"/>
                <w:color w:val="000000"/>
                <w:sz w:val="18"/>
                <w:szCs w:val="18"/>
              </w:rPr>
            </w:pPr>
            <w:r w:rsidRPr="004A532F">
              <w:rPr>
                <w:rFonts w:asciiTheme="minorEastAsia" w:hAnsiTheme="minorEastAsia" w:hint="eastAsia"/>
                <w:color w:val="000000"/>
                <w:sz w:val="18"/>
                <w:szCs w:val="18"/>
              </w:rPr>
              <w:t> 项目 </w:t>
            </w:r>
          </w:p>
        </w:tc>
        <w:tc>
          <w:tcPr>
            <w:tcW w:w="3189"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center"/>
              <w:rPr>
                <w:rFonts w:asciiTheme="minorEastAsia" w:hAnsiTheme="minorEastAsia" w:cs="宋体"/>
                <w:color w:val="000000"/>
                <w:sz w:val="18"/>
                <w:szCs w:val="18"/>
              </w:rPr>
            </w:pPr>
            <w:r w:rsidRPr="004A532F">
              <w:rPr>
                <w:rFonts w:asciiTheme="minorEastAsia" w:hAnsiTheme="minorEastAsia" w:hint="eastAsia"/>
                <w:color w:val="000000"/>
                <w:sz w:val="18"/>
                <w:szCs w:val="18"/>
              </w:rPr>
              <w:t> 期末余额 </w:t>
            </w:r>
          </w:p>
        </w:tc>
        <w:tc>
          <w:tcPr>
            <w:tcW w:w="3190"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center"/>
              <w:rPr>
                <w:rFonts w:asciiTheme="minorEastAsia" w:hAnsiTheme="minorEastAsia" w:cs="宋体"/>
                <w:color w:val="000000"/>
                <w:sz w:val="18"/>
                <w:szCs w:val="18"/>
              </w:rPr>
            </w:pPr>
            <w:r w:rsidRPr="004A532F">
              <w:rPr>
                <w:rFonts w:asciiTheme="minorEastAsia" w:hAnsiTheme="minorEastAsia" w:hint="eastAsia"/>
                <w:color w:val="000000"/>
                <w:sz w:val="18"/>
                <w:szCs w:val="18"/>
              </w:rPr>
              <w:t> 期初余额 </w:t>
            </w:r>
          </w:p>
        </w:tc>
      </w:tr>
      <w:tr w:rsidR="00BE788E" w:rsidRPr="004A532F" w:rsidTr="002747D2">
        <w:trPr>
          <w:divId w:val="214320391"/>
          <w:trHeight w:val="327"/>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银行承兑汇票保证金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1,991,691,972.69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234,108,377.35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信用证保证金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89,500,000.00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131,300,000.00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质押保证金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57,673,832.30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83,667,307.73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其他使用受限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12,358.40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244,070.59 </w:t>
            </w:r>
          </w:p>
        </w:tc>
      </w:tr>
      <w:tr w:rsidR="00BE788E" w:rsidRPr="004A532F" w:rsidTr="002747D2">
        <w:trPr>
          <w:divId w:val="214320391"/>
          <w:trHeight w:val="312"/>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pPr>
              <w:jc w:val="both"/>
              <w:rPr>
                <w:rFonts w:asciiTheme="minorEastAsia" w:hAnsiTheme="minorEastAsia" w:cs="宋体"/>
                <w:color w:val="000000"/>
                <w:sz w:val="18"/>
                <w:szCs w:val="18"/>
              </w:rPr>
            </w:pPr>
            <w:r w:rsidRPr="004A532F">
              <w:rPr>
                <w:rFonts w:asciiTheme="minorEastAsia" w:hAnsiTheme="minorEastAsia" w:hint="eastAsia"/>
                <w:color w:val="000000"/>
                <w:sz w:val="18"/>
                <w:szCs w:val="18"/>
              </w:rPr>
              <w:t> 公积金中心托管维修基金账户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2,480,320.43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2,480,320.43 </w:t>
            </w:r>
          </w:p>
        </w:tc>
      </w:tr>
      <w:tr w:rsidR="00BE788E" w:rsidRPr="004A532F" w:rsidTr="002747D2">
        <w:trPr>
          <w:divId w:val="214320391"/>
          <w:trHeight w:val="327"/>
        </w:trPr>
        <w:tc>
          <w:tcPr>
            <w:tcW w:w="3261"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4A532F" w:rsidRDefault="00BE788E" w:rsidP="002747D2">
            <w:pPr>
              <w:rPr>
                <w:rFonts w:asciiTheme="minorEastAsia" w:hAnsiTheme="minorEastAsia" w:cs="宋体"/>
                <w:color w:val="000000"/>
                <w:sz w:val="18"/>
                <w:szCs w:val="18"/>
              </w:rPr>
            </w:pPr>
            <w:r w:rsidRPr="004A532F">
              <w:rPr>
                <w:rFonts w:asciiTheme="minorEastAsia" w:hAnsiTheme="minorEastAsia" w:hint="eastAsia"/>
                <w:color w:val="000000"/>
                <w:sz w:val="18"/>
                <w:szCs w:val="18"/>
              </w:rPr>
              <w:t> 合计 </w:t>
            </w:r>
          </w:p>
        </w:tc>
        <w:tc>
          <w:tcPr>
            <w:tcW w:w="3189"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2,141,358,483.82 </w:t>
            </w:r>
          </w:p>
        </w:tc>
        <w:tc>
          <w:tcPr>
            <w:tcW w:w="3190"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4A532F" w:rsidRDefault="00BE788E" w:rsidP="004A532F">
            <w:pPr>
              <w:jc w:val="right"/>
              <w:rPr>
                <w:rFonts w:asciiTheme="minorEastAsia" w:hAnsiTheme="minorEastAsia" w:cs="宋体"/>
                <w:color w:val="000000"/>
                <w:sz w:val="18"/>
                <w:szCs w:val="18"/>
              </w:rPr>
            </w:pPr>
            <w:r w:rsidRPr="004A532F">
              <w:rPr>
                <w:rFonts w:asciiTheme="minorEastAsia" w:hAnsiTheme="minorEastAsia" w:hint="eastAsia"/>
                <w:color w:val="000000"/>
                <w:sz w:val="18"/>
                <w:szCs w:val="18"/>
              </w:rPr>
              <w:t> 451,800,076.10 </w:t>
            </w:r>
          </w:p>
        </w:tc>
      </w:tr>
    </w:tbl>
    <w:p w:rsidR="00037019" w:rsidRDefault="00BE788E">
      <w:pPr>
        <w:pStyle w:val="3"/>
        <w:spacing w:line="280" w:lineRule="exact"/>
        <w:jc w:val="left"/>
        <w:rPr>
          <w:rFonts w:ascii="宋体" w:hAnsi="宋体" w:cs="宋体"/>
          <w:b/>
          <w:bCs/>
        </w:rPr>
      </w:pPr>
      <w:bookmarkStart w:id="181" w:name="_Toc989070"/>
      <w:r>
        <w:rPr>
          <w:rFonts w:ascii="宋体" w:hAnsi="宋体" w:cs="宋体"/>
          <w:b/>
          <w:bCs/>
        </w:rPr>
        <w:t>2、交易性金融资产</w:t>
      </w:r>
      <w:bookmarkEnd w:id="18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392,601.34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50,392,601.34</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121,648,424.05</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104,805,877.96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59,592,743.55</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指定以公允价值计量且其变动计入当期损益的金融资产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bl>
    <w:p w:rsidR="00037019" w:rsidRDefault="00BE788E" w:rsidP="002747D2">
      <w:pPr>
        <w:rPr>
          <w:rFonts w:ascii="宋体" w:eastAsia="宋体" w:hAnsi="宋体" w:cs="宋体"/>
          <w:sz w:val="18"/>
          <w:szCs w:val="18"/>
        </w:rPr>
      </w:pPr>
      <w:r>
        <w:rPr>
          <w:rFonts w:ascii="宋体" w:eastAsia="宋体" w:hAnsi="宋体" w:cs="宋体"/>
          <w:sz w:val="18"/>
          <w:szCs w:val="18"/>
        </w:rPr>
        <w:t>其他说明</w:t>
      </w:r>
      <w:r w:rsidR="002747D2">
        <w:rPr>
          <w:rFonts w:ascii="宋体" w:eastAsia="宋体" w:hAnsi="宋体" w:cs="宋体"/>
          <w:sz w:val="18"/>
          <w:szCs w:val="18"/>
        </w:rPr>
        <w:t>：</w:t>
      </w:r>
    </w:p>
    <w:p w:rsidR="00BE788E" w:rsidRDefault="00BE788E" w:rsidP="002747D2">
      <w:pPr>
        <w:pStyle w:val="a3"/>
        <w:spacing w:before="0" w:beforeAutospacing="0" w:after="0" w:afterAutospacing="0"/>
        <w:divId w:val="997880402"/>
        <w:rPr>
          <w:sz w:val="18"/>
          <w:szCs w:val="18"/>
        </w:rPr>
      </w:pPr>
      <w:r>
        <w:rPr>
          <w:rFonts w:hint="eastAsia"/>
          <w:sz w:val="18"/>
          <w:szCs w:val="18"/>
        </w:rPr>
        <w:t>1.期末衍生金融资产系子公司宁波东</w:t>
      </w:r>
      <w:proofErr w:type="gramStart"/>
      <w:r>
        <w:rPr>
          <w:rFonts w:hint="eastAsia"/>
          <w:sz w:val="18"/>
          <w:szCs w:val="18"/>
        </w:rPr>
        <w:t>浩</w:t>
      </w:r>
      <w:proofErr w:type="gramEnd"/>
      <w:r>
        <w:rPr>
          <w:rFonts w:hint="eastAsia"/>
          <w:sz w:val="18"/>
          <w:szCs w:val="18"/>
        </w:rPr>
        <w:t>、浙江维新、浙江昇孚、香港天成、新疆棉花交易市场、新疆华孚棉业、新加坡耀佳等公司购买棉花期货和期权等套期保值工具。</w:t>
      </w:r>
    </w:p>
    <w:p w:rsidR="00BE788E" w:rsidRDefault="00BE788E" w:rsidP="002747D2">
      <w:pPr>
        <w:pStyle w:val="a3"/>
        <w:spacing w:before="0" w:beforeAutospacing="0" w:after="0" w:afterAutospacing="0"/>
        <w:divId w:val="997880402"/>
        <w:rPr>
          <w:sz w:val="18"/>
          <w:szCs w:val="18"/>
        </w:rPr>
      </w:pPr>
      <w:r>
        <w:rPr>
          <w:rFonts w:hint="eastAsia"/>
          <w:sz w:val="18"/>
          <w:szCs w:val="18"/>
        </w:rPr>
        <w:t>2.理财产品中有5000万元人民币为华孚时尚向中国对外经济贸易信托有限公司认购的外贸信托-长阳1号集合资金信托计划基金份额，截止2024年6月30日持有份额的公允价值为42,127,227.04元。</w:t>
      </w:r>
    </w:p>
    <w:p w:rsidR="00037019" w:rsidRDefault="00BE788E">
      <w:pPr>
        <w:pStyle w:val="3"/>
        <w:spacing w:line="280" w:lineRule="exact"/>
        <w:jc w:val="left"/>
        <w:rPr>
          <w:rFonts w:ascii="宋体" w:hAnsi="宋体" w:cs="宋体"/>
          <w:b/>
          <w:bCs/>
        </w:rPr>
      </w:pPr>
      <w:bookmarkStart w:id="182" w:name="_Toc989071"/>
      <w:r>
        <w:rPr>
          <w:rFonts w:ascii="宋体" w:hAnsi="宋体" w:cs="宋体"/>
          <w:b/>
          <w:bCs/>
        </w:rPr>
        <w:t>3、衍生金融资产</w:t>
      </w:r>
      <w:bookmarkEnd w:id="18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BE788E" w:rsidRDefault="00BE788E">
      <w:pPr>
        <w:pStyle w:val="a3"/>
        <w:divId w:val="173508381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183" w:name="_Toc989072"/>
      <w:r>
        <w:rPr>
          <w:rFonts w:ascii="宋体" w:hAnsi="宋体" w:cs="宋体"/>
          <w:b/>
          <w:bCs/>
        </w:rPr>
        <w:t>4、应收票据</w:t>
      </w:r>
      <w:bookmarkEnd w:id="183"/>
    </w:p>
    <w:p w:rsidR="00037019" w:rsidRDefault="00BE788E">
      <w:pPr>
        <w:keepNext/>
        <w:keepLines/>
        <w:spacing w:before="300" w:after="300" w:line="280" w:lineRule="exact"/>
        <w:outlineLvl w:val="3"/>
        <w:rPr>
          <w:rFonts w:ascii="宋体" w:eastAsia="宋体" w:hAnsi="宋体" w:cs="宋体"/>
          <w:b/>
          <w:bCs/>
          <w:szCs w:val="21"/>
        </w:rPr>
      </w:pPr>
      <w:bookmarkStart w:id="184" w:name="_Toc989073"/>
      <w:r>
        <w:rPr>
          <w:rFonts w:ascii="宋体" w:eastAsia="宋体" w:hAnsi="宋体" w:cs="宋体"/>
          <w:b/>
          <w:bCs/>
          <w:szCs w:val="21"/>
        </w:rPr>
        <w:t>（1） 应收票据分类列示</w:t>
      </w:r>
      <w:bookmarkEnd w:id="18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91CA9">
            <w:pPr>
              <w:spacing w:line="240" w:lineRule="exact"/>
              <w:jc w:val="right"/>
              <w:rPr>
                <w:rFonts w:ascii="宋体" w:eastAsia="宋体" w:hAnsi="宋体" w:cs="宋体"/>
                <w:sz w:val="18"/>
                <w:szCs w:val="18"/>
              </w:rPr>
            </w:pPr>
            <w:r w:rsidRPr="00091CA9">
              <w:rPr>
                <w:rFonts w:ascii="宋体" w:eastAsia="宋体" w:hAnsi="宋体" w:cs="宋体"/>
                <w:sz w:val="18"/>
                <w:szCs w:val="18"/>
              </w:rPr>
              <w:t>113,689,949.85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55,925,038.92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91CA9">
            <w:pPr>
              <w:spacing w:line="240" w:lineRule="exact"/>
              <w:jc w:val="right"/>
              <w:rPr>
                <w:rFonts w:ascii="宋体" w:eastAsia="宋体" w:hAnsi="宋体" w:cs="宋体"/>
                <w:sz w:val="18"/>
                <w:szCs w:val="18"/>
              </w:rPr>
            </w:pPr>
            <w:r w:rsidRPr="00091CA9">
              <w:rPr>
                <w:rFonts w:ascii="宋体" w:eastAsia="宋体" w:hAnsi="宋体" w:cs="宋体"/>
                <w:sz w:val="18"/>
                <w:szCs w:val="18"/>
              </w:rPr>
              <w:t>12,979,786.48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1,976,793.31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bl>
    <w:p w:rsidR="00037019" w:rsidRDefault="00BE788E">
      <w:pPr>
        <w:keepNext/>
        <w:keepLines/>
        <w:spacing w:before="300" w:after="300" w:line="280" w:lineRule="exact"/>
        <w:outlineLvl w:val="3"/>
        <w:rPr>
          <w:rFonts w:ascii="宋体" w:eastAsia="宋体" w:hAnsi="宋体" w:cs="宋体"/>
          <w:b/>
          <w:bCs/>
          <w:szCs w:val="21"/>
        </w:rPr>
      </w:pPr>
      <w:bookmarkStart w:id="185" w:name="_Toc989074"/>
      <w:r>
        <w:rPr>
          <w:rFonts w:ascii="宋体" w:eastAsia="宋体" w:hAnsi="宋体" w:cs="宋体"/>
          <w:b/>
          <w:bCs/>
          <w:szCs w:val="21"/>
        </w:rPr>
        <w:t>（2） 按坏账计提方法分类披露</w:t>
      </w:r>
      <w:bookmarkEnd w:id="18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127,352,882.99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其中：银行承兑汇票组合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113,689,949.85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113,689,949.85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55,925,038.92</w:t>
            </w:r>
          </w:p>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13,662,933.14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12,979,786.48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1,976,793.31</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127,352,882.99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126,669,736.33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57,901,832.23</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3D3D3"/>
        <w:tblLayout w:type="fixed"/>
        <w:tblLook w:val="04A0" w:firstRow="1" w:lastRow="0" w:firstColumn="1" w:lastColumn="0" w:noHBand="0" w:noVBand="1"/>
      </w:tblPr>
      <w:tblGrid>
        <w:gridCol w:w="2409"/>
        <w:gridCol w:w="2410"/>
        <w:gridCol w:w="2410"/>
        <w:gridCol w:w="2410"/>
      </w:tblGrid>
      <w:tr w:rsidR="00037019" w:rsidTr="002747D2">
        <w:trPr>
          <w:trHeight w:val="240"/>
        </w:trPr>
        <w:tc>
          <w:tcPr>
            <w:tcW w:w="2410" w:type="dxa"/>
            <w:vMerge w:val="restart"/>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bottom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2410" w:type="dxa"/>
            <w:vMerge/>
            <w:shd w:val="clear" w:color="auto" w:fill="D3D3D3"/>
            <w:vAlign w:val="center"/>
          </w:tcPr>
          <w:p w:rsidR="00037019" w:rsidRDefault="00037019"/>
        </w:tc>
        <w:tc>
          <w:tcPr>
            <w:tcW w:w="2410"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2747D2">
        <w:trPr>
          <w:trHeight w:val="240"/>
        </w:trPr>
        <w:tc>
          <w:tcPr>
            <w:tcW w:w="2410" w:type="dxa"/>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13,662,933.14</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2747D2">
        <w:trPr>
          <w:trHeight w:val="240"/>
        </w:trPr>
        <w:tc>
          <w:tcPr>
            <w:tcW w:w="2410" w:type="dxa"/>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13,662,933.14</w:t>
            </w:r>
          </w:p>
        </w:tc>
        <w:tc>
          <w:tcPr>
            <w:tcW w:w="2410"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2410" w:type="dxa"/>
            <w:shd w:val="clear" w:color="auto" w:fill="auto"/>
            <w:vAlign w:val="center"/>
          </w:tcPr>
          <w:p w:rsidR="00037019" w:rsidRDefault="00037019"/>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如是按照预期信用损失一般模型计提应收票据坏账准备：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86" w:name="_Toc989075"/>
      <w:r>
        <w:rPr>
          <w:rFonts w:ascii="宋体" w:eastAsia="宋体" w:hAnsi="宋体" w:cs="宋体"/>
          <w:b/>
          <w:bCs/>
          <w:szCs w:val="21"/>
        </w:rPr>
        <w:t>（3） 本期计提、收回或转回的坏账准备情况</w:t>
      </w:r>
      <w:bookmarkEnd w:id="186"/>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683,146.66</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87" w:name="_Toc989076"/>
      <w:r>
        <w:rPr>
          <w:rFonts w:ascii="宋体" w:eastAsia="宋体" w:hAnsi="宋体" w:cs="宋体"/>
          <w:b/>
          <w:bCs/>
          <w:szCs w:val="21"/>
        </w:rPr>
        <w:t>（4） 期末公司已质押的应收票据</w:t>
      </w:r>
      <w:bookmarkEnd w:id="18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期末已质</w:t>
            </w:r>
            <w:proofErr w:type="gramEnd"/>
            <w:r>
              <w:rPr>
                <w:rFonts w:ascii="宋体" w:eastAsia="宋体" w:hAnsi="宋体" w:cs="宋体"/>
                <w:sz w:val="18"/>
                <w:szCs w:val="18"/>
              </w:rPr>
              <w:t>押金额</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r>
    </w:tbl>
    <w:p w:rsidR="00037019" w:rsidRDefault="00BE788E">
      <w:pPr>
        <w:keepNext/>
        <w:keepLines/>
        <w:spacing w:before="300" w:after="300" w:line="280" w:lineRule="exact"/>
        <w:outlineLvl w:val="3"/>
        <w:rPr>
          <w:rFonts w:ascii="宋体" w:eastAsia="宋体" w:hAnsi="宋体" w:cs="宋体"/>
          <w:b/>
          <w:bCs/>
          <w:szCs w:val="21"/>
        </w:rPr>
      </w:pPr>
      <w:bookmarkStart w:id="188" w:name="_Toc989077"/>
      <w:r>
        <w:rPr>
          <w:rFonts w:ascii="宋体" w:eastAsia="宋体" w:hAnsi="宋体" w:cs="宋体"/>
          <w:b/>
          <w:bCs/>
          <w:szCs w:val="21"/>
        </w:rPr>
        <w:t>（5） 期末公司已背书或贴现且在资产负债表日尚未到期的应收票据</w:t>
      </w:r>
      <w:bookmarkEnd w:id="18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期末未终止确认金额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3,446,892,961.41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100,668,020.07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3,547,560,981.48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189" w:name="_Toc989078"/>
      <w:r>
        <w:rPr>
          <w:rFonts w:ascii="宋体" w:eastAsia="宋体" w:hAnsi="宋体" w:cs="宋体"/>
          <w:b/>
          <w:bCs/>
          <w:szCs w:val="21"/>
        </w:rPr>
        <w:t>（6） 本期实际核销的应收票据情况</w:t>
      </w:r>
      <w:bookmarkEnd w:id="189"/>
    </w:p>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应收票据核销说明：</w:t>
      </w:r>
      <w:r>
        <w:rPr>
          <w:rFonts w:hint="eastAsia"/>
          <w:sz w:val="18"/>
          <w:szCs w:val="18"/>
        </w:rPr>
        <w:t>无。</w:t>
      </w:r>
    </w:p>
    <w:p w:rsidR="00037019" w:rsidRDefault="00BE788E">
      <w:pPr>
        <w:pStyle w:val="3"/>
        <w:spacing w:line="280" w:lineRule="exact"/>
        <w:jc w:val="left"/>
        <w:rPr>
          <w:rFonts w:ascii="宋体" w:hAnsi="宋体" w:cs="宋体"/>
          <w:b/>
          <w:bCs/>
        </w:rPr>
      </w:pPr>
      <w:bookmarkStart w:id="190" w:name="_Toc989079"/>
      <w:r>
        <w:rPr>
          <w:rFonts w:ascii="宋体" w:hAnsi="宋体" w:cs="宋体"/>
          <w:b/>
          <w:bCs/>
        </w:rPr>
        <w:t>5、应收账款</w:t>
      </w:r>
      <w:bookmarkEnd w:id="190"/>
    </w:p>
    <w:p w:rsidR="00037019" w:rsidRDefault="00BE788E">
      <w:pPr>
        <w:keepNext/>
        <w:keepLines/>
        <w:spacing w:before="300" w:after="300" w:line="280" w:lineRule="exact"/>
        <w:outlineLvl w:val="3"/>
        <w:rPr>
          <w:rFonts w:ascii="宋体" w:eastAsia="宋体" w:hAnsi="宋体" w:cs="宋体"/>
          <w:b/>
          <w:bCs/>
          <w:szCs w:val="21"/>
        </w:rPr>
      </w:pPr>
      <w:bookmarkStart w:id="191" w:name="_Toc989080"/>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191"/>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909,081,059.31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1,057,935,083.21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14,644,788.98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27,924,185.34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8,310,669.32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6,402,719.93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5,357,644.80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6,610,979.20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1,482,975.02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1,464,344.54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1,235,958.54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3,207,923.42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2,638,711.24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1,938,711.24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937,394,162.41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1,098,872,967.68</w:t>
            </w:r>
          </w:p>
        </w:tc>
      </w:tr>
    </w:tbl>
    <w:p w:rsidR="00037019" w:rsidRDefault="00BE788E">
      <w:pPr>
        <w:keepNext/>
        <w:keepLines/>
        <w:spacing w:before="300" w:after="300" w:line="280" w:lineRule="exact"/>
        <w:outlineLvl w:val="3"/>
        <w:rPr>
          <w:rFonts w:ascii="宋体" w:eastAsia="宋体" w:hAnsi="宋体" w:cs="宋体"/>
          <w:b/>
          <w:bCs/>
          <w:szCs w:val="21"/>
        </w:rPr>
      </w:pPr>
      <w:bookmarkStart w:id="192" w:name="_Toc989081"/>
      <w:r>
        <w:rPr>
          <w:rFonts w:ascii="宋体" w:eastAsia="宋体" w:hAnsi="宋体" w:cs="宋体"/>
          <w:b/>
          <w:bCs/>
          <w:szCs w:val="21"/>
        </w:rPr>
        <w:t>（2） 按坏账计提方法分类披露</w:t>
      </w:r>
      <w:bookmarkEnd w:id="19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0.27%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934,823,303.55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934,823,303.56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937,394,162.41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55,006,318.40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882,387,844.02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1,098,872,967.68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94,814,502.04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1,004,058,465.64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按单项计提坏账准备类别名称：</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09"/>
        <w:gridCol w:w="1418"/>
        <w:gridCol w:w="1417"/>
        <w:gridCol w:w="1418"/>
        <w:gridCol w:w="1417"/>
        <w:gridCol w:w="993"/>
        <w:gridCol w:w="1167"/>
      </w:tblGrid>
      <w:tr w:rsidR="00037019" w:rsidTr="00EB1417">
        <w:trPr>
          <w:trHeight w:val="240"/>
        </w:trPr>
        <w:tc>
          <w:tcPr>
            <w:tcW w:w="180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83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95"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180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东莞德永佳纺织制衣有限公司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EB1417">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按组合计提坏账准备类别名称：预期信用风险组合</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909,081,059.32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45,454,052.97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14,644,788.98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1,464,478.90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5,739,810.46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1,147,962.09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1,482,975.02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741,487.51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4-5年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1,235,958.54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988,766.83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2,638,711.24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2,638,711.24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2747D2">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934,823,303.56</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193" w:name="_Toc989082"/>
      <w:r>
        <w:rPr>
          <w:rFonts w:ascii="宋体" w:eastAsia="宋体" w:hAnsi="宋体" w:cs="宋体"/>
          <w:b/>
          <w:bCs/>
          <w:szCs w:val="21"/>
        </w:rPr>
        <w:t>（3） 本期计提、收回或转回的坏账准备情况</w:t>
      </w:r>
      <w:bookmarkEnd w:id="19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093"/>
        <w:gridCol w:w="1559"/>
        <w:gridCol w:w="851"/>
        <w:gridCol w:w="1417"/>
        <w:gridCol w:w="1418"/>
        <w:gridCol w:w="850"/>
        <w:gridCol w:w="1451"/>
      </w:tblGrid>
      <w:tr w:rsidR="00037019" w:rsidTr="002747D2">
        <w:trPr>
          <w:trHeight w:val="240"/>
        </w:trPr>
        <w:tc>
          <w:tcPr>
            <w:tcW w:w="20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53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45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2747D2">
        <w:trPr>
          <w:trHeight w:val="240"/>
        </w:trPr>
        <w:tc>
          <w:tcPr>
            <w:tcW w:w="20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45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单项计提坏账准备的应收账款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2,570,858.86</w:t>
            </w:r>
          </w:p>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6,808,495.89</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312.25</w:t>
            </w: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52,435,459.54</w:t>
            </w:r>
          </w:p>
        </w:tc>
      </w:tr>
      <w:tr w:rsidR="00037019" w:rsidTr="002747D2">
        <w:trPr>
          <w:trHeight w:val="240"/>
        </w:trPr>
        <w:tc>
          <w:tcPr>
            <w:tcW w:w="20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94,814,502.04</w:t>
            </w:r>
          </w:p>
        </w:tc>
        <w:tc>
          <w:tcPr>
            <w:tcW w:w="8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6,808,495.89</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312.25</w:t>
            </w:r>
          </w:p>
        </w:tc>
        <w:tc>
          <w:tcPr>
            <w:tcW w:w="14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55,006,318.40</w:t>
            </w:r>
          </w:p>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94" w:name="_Toc989083"/>
      <w:r>
        <w:rPr>
          <w:rFonts w:ascii="宋体" w:eastAsia="宋体" w:hAnsi="宋体" w:cs="宋体"/>
          <w:b/>
          <w:bCs/>
          <w:szCs w:val="21"/>
        </w:rPr>
        <w:t>（4） 本期实际核销的应收账款情况</w:t>
      </w:r>
      <w:bookmarkEnd w:id="19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实际核销的应收账款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其中重要的应收账款核销情况：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809"/>
        <w:gridCol w:w="1403"/>
        <w:gridCol w:w="1606"/>
        <w:gridCol w:w="1607"/>
        <w:gridCol w:w="1607"/>
        <w:gridCol w:w="1607"/>
      </w:tblGrid>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40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款项是否由关联交易产生</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2747D2">
            <w:pPr>
              <w:spacing w:line="240" w:lineRule="exact"/>
              <w:jc w:val="center"/>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无法收回</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2747D2">
            <w:pPr>
              <w:spacing w:line="240" w:lineRule="exact"/>
              <w:jc w:val="center"/>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无法收回</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403" w:type="dxa"/>
            <w:tcBorders>
              <w:top w:val="single" w:sz="2" w:space="0" w:color="auto"/>
              <w:left w:val="single" w:sz="2" w:space="0" w:color="auto"/>
              <w:bottom w:val="single" w:sz="2" w:space="0" w:color="auto"/>
              <w:right w:val="single" w:sz="2" w:space="0" w:color="auto"/>
            </w:tcBorders>
            <w:vAlign w:val="center"/>
          </w:tcPr>
          <w:p w:rsidR="00037019" w:rsidRDefault="00BE788E" w:rsidP="002747D2">
            <w:pPr>
              <w:spacing w:line="240" w:lineRule="exact"/>
              <w:jc w:val="center"/>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无法收回</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r>
      <w:tr w:rsidR="00037019" w:rsidTr="002747D2">
        <w:trPr>
          <w:trHeight w:val="240"/>
        </w:trPr>
        <w:tc>
          <w:tcPr>
            <w:tcW w:w="18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03"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33,000,000.00</w:t>
            </w: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2747D2" w:rsidRDefault="00BE788E" w:rsidP="002747D2">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195" w:name="_Toc989084"/>
      <w:r>
        <w:rPr>
          <w:rFonts w:ascii="宋体" w:eastAsia="宋体" w:hAnsi="宋体" w:cs="宋体"/>
          <w:b/>
          <w:bCs/>
          <w:szCs w:val="21"/>
        </w:rPr>
        <w:t>（5） 按欠款方归集的期末余额前五名的应收账款和合同资产情况</w:t>
      </w:r>
      <w:bookmarkEnd w:id="19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236,172,858.19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236,172,858.19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11,808,642.91</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191,574,228.68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191,574,228.68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9,578,711.43</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59,076,079.90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59,076,079.90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2,953,804.00</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第四名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50,958,289.14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50,958,289.14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2,547,914.46</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第五名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30,760,379.03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30,760,379.03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1,538,018.95</w:t>
            </w:r>
          </w:p>
        </w:tc>
      </w:tr>
      <w:tr w:rsidR="00037019" w:rsidTr="002747D2">
        <w:trPr>
          <w:cantSplit/>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568,541,834.94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568,541,834.94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60.65%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28,427,091.75</w:t>
            </w:r>
          </w:p>
        </w:tc>
      </w:tr>
    </w:tbl>
    <w:p w:rsidR="00037019" w:rsidRDefault="00BE788E">
      <w:pPr>
        <w:pStyle w:val="3"/>
        <w:spacing w:line="280" w:lineRule="exact"/>
        <w:jc w:val="left"/>
        <w:rPr>
          <w:rFonts w:ascii="宋体" w:hAnsi="宋体" w:cs="宋体"/>
          <w:b/>
          <w:bCs/>
        </w:rPr>
      </w:pPr>
      <w:bookmarkStart w:id="196" w:name="_Toc989085"/>
      <w:r>
        <w:rPr>
          <w:rFonts w:ascii="宋体" w:hAnsi="宋体" w:cs="宋体"/>
          <w:b/>
          <w:bCs/>
        </w:rPr>
        <w:t>6、合同资产</w:t>
      </w:r>
      <w:bookmarkEnd w:id="19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EB1417">
        <w:rPr>
          <w:rFonts w:ascii="宋体" w:eastAsia="宋体" w:hAnsi="宋体" w:cs="宋体"/>
          <w:sz w:val="18"/>
          <w:szCs w:val="18"/>
        </w:rPr>
        <w:t>无</w:t>
      </w:r>
    </w:p>
    <w:p w:rsidR="00037019" w:rsidRDefault="00BE788E">
      <w:pPr>
        <w:pStyle w:val="3"/>
        <w:spacing w:line="280" w:lineRule="exact"/>
        <w:jc w:val="left"/>
        <w:rPr>
          <w:rFonts w:ascii="宋体" w:hAnsi="宋体" w:cs="宋体"/>
          <w:b/>
          <w:bCs/>
        </w:rPr>
      </w:pPr>
      <w:bookmarkStart w:id="197" w:name="_Toc989091"/>
      <w:r>
        <w:rPr>
          <w:rFonts w:ascii="宋体" w:hAnsi="宋体" w:cs="宋体"/>
          <w:b/>
          <w:bCs/>
        </w:rPr>
        <w:t>7、应收款项融资</w:t>
      </w:r>
      <w:bookmarkEnd w:id="197"/>
    </w:p>
    <w:p w:rsidR="00EB1417" w:rsidRDefault="00EB1417" w:rsidP="00EB1417">
      <w:pPr>
        <w:spacing w:before="100" w:after="100" w:line="240" w:lineRule="exact"/>
        <w:rPr>
          <w:rFonts w:ascii="宋体" w:eastAsia="宋体" w:hAnsi="宋体" w:cs="宋体"/>
          <w:sz w:val="18"/>
          <w:szCs w:val="18"/>
        </w:rPr>
      </w:pPr>
      <w:bookmarkStart w:id="198" w:name="_Toc989100"/>
      <w:r>
        <w:rPr>
          <w:rFonts w:ascii="宋体" w:eastAsia="宋体" w:hAnsi="宋体" w:cs="宋体"/>
          <w:sz w:val="18"/>
          <w:szCs w:val="18"/>
        </w:rPr>
        <w:t>其他说明：无</w:t>
      </w:r>
    </w:p>
    <w:p w:rsidR="00037019" w:rsidRDefault="00BE788E">
      <w:pPr>
        <w:pStyle w:val="3"/>
        <w:spacing w:line="280" w:lineRule="exact"/>
        <w:jc w:val="left"/>
        <w:rPr>
          <w:rFonts w:ascii="宋体" w:hAnsi="宋体" w:cs="宋体"/>
          <w:b/>
          <w:bCs/>
        </w:rPr>
      </w:pPr>
      <w:r>
        <w:rPr>
          <w:rFonts w:ascii="宋体" w:hAnsi="宋体" w:cs="宋体"/>
          <w:b/>
          <w:bCs/>
        </w:rPr>
        <w:t>8、其他应收款</w:t>
      </w:r>
      <w:bookmarkEnd w:id="19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bl>
    <w:p w:rsidR="00037019" w:rsidRDefault="00BE788E">
      <w:pPr>
        <w:keepNext/>
        <w:keepLines/>
        <w:spacing w:before="300" w:after="300" w:line="280" w:lineRule="exact"/>
        <w:outlineLvl w:val="3"/>
        <w:rPr>
          <w:rFonts w:ascii="宋体" w:eastAsia="宋体" w:hAnsi="宋体" w:cs="宋体"/>
          <w:b/>
          <w:bCs/>
          <w:szCs w:val="21"/>
        </w:rPr>
      </w:pPr>
      <w:bookmarkStart w:id="199" w:name="_Toc989113"/>
      <w:r>
        <w:rPr>
          <w:rFonts w:ascii="宋体" w:eastAsia="宋体" w:hAnsi="宋体" w:cs="宋体"/>
          <w:b/>
          <w:bCs/>
          <w:szCs w:val="21"/>
        </w:rPr>
        <w:lastRenderedPageBreak/>
        <w:t>（</w:t>
      </w:r>
      <w:r w:rsidR="00EB1417">
        <w:rPr>
          <w:rFonts w:ascii="宋体" w:eastAsia="宋体" w:hAnsi="宋体" w:cs="宋体" w:hint="eastAsia"/>
          <w:b/>
          <w:bCs/>
          <w:szCs w:val="21"/>
        </w:rPr>
        <w:t>1</w:t>
      </w:r>
      <w:r>
        <w:rPr>
          <w:rFonts w:ascii="宋体" w:eastAsia="宋体" w:hAnsi="宋体" w:cs="宋体"/>
          <w:b/>
          <w:bCs/>
          <w:szCs w:val="21"/>
        </w:rPr>
        <w:t>） 其他应收款</w:t>
      </w:r>
      <w:bookmarkEnd w:id="199"/>
    </w:p>
    <w:p w:rsidR="00037019" w:rsidRDefault="00BE788E">
      <w:pPr>
        <w:keepNext/>
        <w:keepLines/>
        <w:spacing w:before="300" w:after="300" w:line="280" w:lineRule="exact"/>
        <w:outlineLvl w:val="4"/>
        <w:rPr>
          <w:rFonts w:ascii="宋体" w:eastAsia="宋体" w:hAnsi="宋体" w:cs="宋体"/>
          <w:b/>
          <w:bCs/>
          <w:sz w:val="18"/>
          <w:szCs w:val="18"/>
        </w:rPr>
      </w:pPr>
      <w:bookmarkStart w:id="200" w:name="_Toc989114"/>
      <w:r>
        <w:rPr>
          <w:rFonts w:ascii="宋体" w:eastAsia="宋体" w:hAnsi="宋体" w:cs="宋体"/>
          <w:b/>
          <w:bCs/>
          <w:sz w:val="18"/>
          <w:szCs w:val="18"/>
        </w:rPr>
        <w:t>1） 其他应收款按款项性质分类情况</w:t>
      </w:r>
      <w:bookmarkEnd w:id="20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22,775,272.45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22,485,247.08</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38,821,857.74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15,937,495.49</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11,832,784.29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1,589,318.94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341,601.60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27,131.00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3,204,929.49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3,035,731.00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257,641,050.08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205,694,481.34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1,072,987.51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906,223.77</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9,038,460.52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8,384,586.34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58,572,286.61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54,371,345.02</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40,690,000.00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35,886,000.00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35,886,000.00</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7,289,723.15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6,511,563.64</w:t>
            </w:r>
          </w:p>
        </w:tc>
      </w:tr>
      <w:tr w:rsidR="00037019" w:rsidTr="00EB141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201" w:name="_Toc989115"/>
      <w:r>
        <w:rPr>
          <w:rFonts w:ascii="宋体" w:eastAsia="宋体" w:hAnsi="宋体" w:cs="宋体"/>
          <w:b/>
          <w:bCs/>
          <w:sz w:val="18"/>
          <w:szCs w:val="18"/>
        </w:rPr>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201"/>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284,247,624.88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215,157,253.73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75,209,334.19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51,412,638.68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11,825,066.53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12,618,290.37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115,884,927.84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116,330,940.84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EB1417">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13,173,943.58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13,572,163.43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EB1417">
            <w:pPr>
              <w:spacing w:before="40" w:after="40" w:line="240" w:lineRule="exact"/>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33,314.55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EB1417">
            <w:pPr>
              <w:spacing w:before="40" w:after="40" w:line="240" w:lineRule="exact"/>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102,677,669.71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102,675,777.41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487,166,953.44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395,519,123.62</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202" w:name="_Toc989116"/>
      <w:r>
        <w:rPr>
          <w:rFonts w:ascii="宋体" w:eastAsia="宋体" w:hAnsi="宋体" w:cs="宋体"/>
          <w:b/>
          <w:bCs/>
          <w:sz w:val="18"/>
          <w:szCs w:val="18"/>
        </w:rPr>
        <w:t>3） 按坏账计提方法分类披露</w:t>
      </w:r>
      <w:bookmarkEnd w:id="20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916AA1">
            <w:pPr>
              <w:spacing w:line="240" w:lineRule="exact"/>
              <w:jc w:val="right"/>
              <w:rPr>
                <w:rFonts w:ascii="宋体" w:eastAsia="宋体" w:hAnsi="宋体" w:cs="宋体"/>
                <w:sz w:val="18"/>
                <w:szCs w:val="18"/>
              </w:rPr>
            </w:pPr>
            <w:r>
              <w:rPr>
                <w:rFonts w:ascii="宋体" w:eastAsia="宋体" w:hAnsi="宋体" w:cs="宋体" w:hint="eastAsia"/>
                <w:sz w:val="18"/>
                <w:szCs w:val="18"/>
              </w:rPr>
              <w:t>4.60</w:t>
            </w:r>
            <w:r w:rsidR="00BE788E">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w:t>
            </w:r>
            <w:r>
              <w:rPr>
                <w:rFonts w:ascii="宋体" w:eastAsia="宋体" w:hAnsi="宋体" w:cs="宋体"/>
                <w:sz w:val="18"/>
                <w:szCs w:val="18"/>
              </w:rPr>
              <w:lastRenderedPageBreak/>
              <w:t>账准备</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464,764,346.71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95.40%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145,078,756.41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31.22%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319,685,590.30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372,490,516.89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141,275,618.22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r w:rsidR="00037019">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其中：</w:t>
            </w:r>
          </w:p>
        </w:tc>
      </w:tr>
      <w:tr w:rsidR="00037019" w:rsidTr="00EB141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183,164,309.12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39.41%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27,536,335.35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155,627,973.77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143,003,811.78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38.39%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25,866,123.26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117,137,688.52</w:t>
            </w:r>
          </w:p>
        </w:tc>
      </w:tr>
      <w:tr w:rsidR="00037019" w:rsidTr="00EB141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应收财政款组合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257,641,050.08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55.43%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117,542,421.06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45.62%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140,098,629.02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90,284,986.38</w:t>
            </w:r>
          </w:p>
        </w:tc>
      </w:tr>
      <w:tr w:rsidR="00037019" w:rsidTr="00EB1417">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23,958,987.51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23,958,987.51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23,792,223.77</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487,166,953.44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319,685,590.30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395,519,123.62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231,214,898.67</w:t>
            </w:r>
          </w:p>
        </w:tc>
      </w:tr>
    </w:tbl>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按单项计提坏账准备类别名称：</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1418"/>
        <w:gridCol w:w="1417"/>
        <w:gridCol w:w="1418"/>
        <w:gridCol w:w="1066"/>
        <w:gridCol w:w="1377"/>
      </w:tblGrid>
      <w:tr w:rsidR="00037019" w:rsidTr="00EB1417">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98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27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6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06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宁波欧励实业有限公司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光通天</w:t>
            </w:r>
            <w:proofErr w:type="gramStart"/>
            <w:r>
              <w:rPr>
                <w:rFonts w:ascii="宋体" w:eastAsia="宋体" w:hAnsi="宋体" w:cs="宋体"/>
                <w:sz w:val="18"/>
                <w:szCs w:val="18"/>
              </w:rPr>
              <w:t>下网络</w:t>
            </w:r>
            <w:proofErr w:type="gramEnd"/>
            <w:r>
              <w:rPr>
                <w:rFonts w:ascii="宋体" w:eastAsia="宋体" w:hAnsi="宋体" w:cs="宋体"/>
                <w:sz w:val="18"/>
                <w:szCs w:val="18"/>
              </w:rPr>
              <w:t>科技股份有限公司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169,485.25</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169,485.25</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青岛锦晟棉业有限公司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沙雅县雅</w:t>
            </w:r>
            <w:proofErr w:type="gramStart"/>
            <w:r>
              <w:rPr>
                <w:rFonts w:ascii="宋体" w:eastAsia="宋体" w:hAnsi="宋体" w:cs="宋体"/>
                <w:sz w:val="18"/>
                <w:szCs w:val="18"/>
              </w:rPr>
              <w:t>鑫</w:t>
            </w:r>
            <w:proofErr w:type="gramEnd"/>
            <w:r>
              <w:rPr>
                <w:rFonts w:ascii="宋体" w:eastAsia="宋体" w:hAnsi="宋体" w:cs="宋体"/>
                <w:sz w:val="18"/>
                <w:szCs w:val="18"/>
              </w:rPr>
              <w:t>农业综合开发有限公司</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0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37019" w:rsidTr="00EB1417">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c>
          <w:tcPr>
            <w:tcW w:w="1066" w:type="dxa"/>
            <w:tcBorders>
              <w:top w:val="single" w:sz="2" w:space="0" w:color="auto"/>
              <w:left w:val="single" w:sz="2" w:space="0" w:color="auto"/>
              <w:bottom w:val="single" w:sz="2" w:space="0" w:color="auto"/>
              <w:right w:val="nil"/>
            </w:tcBorders>
            <w:shd w:val="clear" w:color="auto" w:fill="auto"/>
            <w:vAlign w:val="center"/>
          </w:tcPr>
          <w:p w:rsidR="00037019" w:rsidRDefault="00037019"/>
        </w:tc>
        <w:tc>
          <w:tcPr>
            <w:tcW w:w="1377" w:type="dxa"/>
            <w:tcBorders>
              <w:top w:val="single" w:sz="2" w:space="0" w:color="auto"/>
              <w:left w:val="nil"/>
              <w:bottom w:val="single" w:sz="2" w:space="0" w:color="auto"/>
              <w:right w:val="single" w:sz="2" w:space="0" w:color="auto"/>
            </w:tcBorders>
            <w:shd w:val="clear" w:color="auto" w:fill="auto"/>
            <w:vAlign w:val="center"/>
          </w:tcPr>
          <w:p w:rsidR="00037019" w:rsidRDefault="00037019"/>
        </w:tc>
      </w:tr>
    </w:tbl>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按组合计提坏账准备类别名称：预期信用风险组合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134,458,282.76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6,722,914.13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13,154,352.47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1,315,435.25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11,825,066.53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2,365,013.31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13,173,943.58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6,586,971.79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33,314.55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26,651.64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10,519,349.23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10,519,349.23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183,164,309.12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27,536,335.35</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按组合计提坏账准备类别名称：应收财政款组合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125,610,869.36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6,280,543.47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37,790,927.71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18,895,463.86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4－5年</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257,641,050.08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117,542,421.06</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p>
    <w:p w:rsidR="00BE788E" w:rsidRDefault="00BE788E">
      <w:pPr>
        <w:pStyle w:val="a3"/>
        <w:divId w:val="1483424926"/>
        <w:rPr>
          <w:sz w:val="18"/>
          <w:szCs w:val="18"/>
        </w:rPr>
      </w:pPr>
      <w:r>
        <w:rPr>
          <w:rFonts w:hint="eastAsia"/>
          <w:sz w:val="18"/>
          <w:szCs w:val="18"/>
        </w:rPr>
        <w:lastRenderedPageBreak/>
        <w:t>无。</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按组合计提坏账准备类别名称：性质组合</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转让博忆股权</w:t>
            </w:r>
            <w:proofErr w:type="gramEnd"/>
            <w:r>
              <w:rPr>
                <w:rFonts w:ascii="宋体" w:eastAsia="宋体" w:hAnsi="宋体" w:cs="宋体"/>
                <w:sz w:val="18"/>
                <w:szCs w:val="18"/>
              </w:rPr>
              <w:t>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22,886,000.00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出口退税</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1,072,987.51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23,958,987.51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p>
    <w:p w:rsidR="00BE788E" w:rsidRDefault="00BE788E">
      <w:pPr>
        <w:pStyle w:val="a3"/>
        <w:spacing w:before="0" w:beforeAutospacing="0" w:after="0" w:afterAutospacing="0"/>
        <w:jc w:val="both"/>
        <w:divId w:val="1936210437"/>
        <w:rPr>
          <w:rFonts w:ascii="Calibri" w:hAnsi="Calibri" w:cs="Calibri"/>
          <w:sz w:val="21"/>
          <w:szCs w:val="21"/>
        </w:rPr>
      </w:pPr>
      <w:r>
        <w:rPr>
          <w:rFonts w:cs="Calibri" w:hint="eastAsia"/>
          <w:sz w:val="18"/>
          <w:szCs w:val="18"/>
        </w:rPr>
        <w:t>   2023年10月24日，子公司</w:t>
      </w:r>
      <w:r w:rsidR="007539BF" w:rsidRPr="007539BF">
        <w:rPr>
          <w:rFonts w:cs="Calibri" w:hint="eastAsia"/>
          <w:sz w:val="18"/>
          <w:szCs w:val="18"/>
        </w:rPr>
        <w:t>浙江阿大互联科技有限公司</w:t>
      </w:r>
      <w:r>
        <w:rPr>
          <w:rFonts w:cs="Calibri" w:hint="eastAsia"/>
          <w:sz w:val="18"/>
          <w:szCs w:val="18"/>
        </w:rPr>
        <w:t>与许栩光、张晚霞签订股权转让协议，</w:t>
      </w:r>
      <w:r w:rsidR="007539BF" w:rsidRPr="007539BF">
        <w:rPr>
          <w:rFonts w:cs="Calibri" w:hint="eastAsia"/>
          <w:sz w:val="18"/>
          <w:szCs w:val="18"/>
        </w:rPr>
        <w:t>浙江阿大互联科技有限公司</w:t>
      </w:r>
      <w:r>
        <w:rPr>
          <w:rFonts w:cs="Calibri" w:hint="eastAsia"/>
          <w:sz w:val="18"/>
          <w:szCs w:val="18"/>
        </w:rPr>
        <w:t>以4,578.60万元将持有的浙江博忆纺织科技有限公司51.002%股权转让给许栩光、张晚霞，约定许栩光、张晚霞分两期支付，首期2,290万元于2023年支付，剩余2,288.60万元应于2024年-2029年的6年内支付，同时许栩光、张晚霞以其持有的房产作抵押。</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2065"/>
        <w:gridCol w:w="2126"/>
        <w:gridCol w:w="1593"/>
      </w:tblGrid>
      <w:tr w:rsidR="00037019" w:rsidTr="00EB1417">
        <w:trPr>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206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EB1417">
        <w:trPr>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206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06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1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3,170,719.55</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3,170,719.55</w:t>
            </w:r>
          </w:p>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r>
      <w:tr w:rsidR="00037019" w:rsidTr="00EB1417">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c>
          <w:tcPr>
            <w:tcW w:w="206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12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p>
    <w:p w:rsidR="00BE788E" w:rsidRDefault="00BE788E">
      <w:pPr>
        <w:pStyle w:val="a3"/>
        <w:divId w:val="1546018373"/>
        <w:rPr>
          <w:sz w:val="18"/>
          <w:szCs w:val="18"/>
        </w:rPr>
      </w:pP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203" w:name="_Toc989117"/>
      <w:r>
        <w:rPr>
          <w:rFonts w:ascii="宋体" w:eastAsia="宋体" w:hAnsi="宋体" w:cs="宋体"/>
          <w:b/>
          <w:bCs/>
          <w:sz w:val="18"/>
          <w:szCs w:val="18"/>
        </w:rPr>
        <w:t>4） 本期计提、收回或转回的坏账准备情况</w:t>
      </w:r>
      <w:bookmarkEnd w:id="203"/>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26"/>
        <w:gridCol w:w="1559"/>
        <w:gridCol w:w="1559"/>
        <w:gridCol w:w="1276"/>
        <w:gridCol w:w="1134"/>
        <w:gridCol w:w="992"/>
        <w:gridCol w:w="1593"/>
      </w:tblGrid>
      <w:tr w:rsidR="00037019" w:rsidTr="00EB1417">
        <w:trPr>
          <w:trHeight w:val="240"/>
        </w:trPr>
        <w:tc>
          <w:tcPr>
            <w:tcW w:w="15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EB1417">
        <w:trPr>
          <w:trHeight w:val="240"/>
        </w:trPr>
        <w:tc>
          <w:tcPr>
            <w:tcW w:w="15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单项计提预期信用损失的其他应收款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22,402,606.73</w:t>
            </w: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按组合计提预期信用损失的其他应收款</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其中：预期信用</w:t>
            </w:r>
            <w:r>
              <w:rPr>
                <w:rFonts w:ascii="宋体" w:eastAsia="宋体" w:hAnsi="宋体" w:cs="宋体"/>
                <w:sz w:val="18"/>
                <w:szCs w:val="18"/>
              </w:rPr>
              <w:lastRenderedPageBreak/>
              <w:t>风险组合</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25,866,123.26</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1,663,793.45</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27,536,335.35</w:t>
            </w: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应收财政款组合</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2,132,926.10</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117,542,421.06</w:t>
            </w:r>
          </w:p>
        </w:tc>
      </w:tr>
      <w:tr w:rsidR="00037019" w:rsidTr="00EB1417">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15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3,796,719.55</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6,418.64</w:t>
            </w: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167,481,363.14</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204" w:name="_Toc989118"/>
      <w:r>
        <w:rPr>
          <w:rFonts w:ascii="宋体" w:eastAsia="宋体" w:hAnsi="宋体" w:cs="宋体"/>
          <w:b/>
          <w:bCs/>
          <w:sz w:val="18"/>
          <w:szCs w:val="18"/>
        </w:rPr>
        <w:t>5） 本期实际核销的其他应收款情况</w:t>
      </w:r>
      <w:bookmarkEnd w:id="204"/>
    </w:p>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205" w:name="_Toc989119"/>
      <w:r>
        <w:rPr>
          <w:rFonts w:ascii="宋体" w:eastAsia="宋体" w:hAnsi="宋体" w:cs="宋体"/>
          <w:b/>
          <w:bCs/>
          <w:sz w:val="18"/>
          <w:szCs w:val="18"/>
        </w:rPr>
        <w:t>6） 按欠款方归集的期末余额前五名的其他应收款情况</w:t>
      </w:r>
      <w:bookmarkEnd w:id="20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80,422,159.88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4,021,107.99</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0.43%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208,093.25</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18,680,302.31</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4,592,600.00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14,337,616.83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716,880.84</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119,681.55</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5年以上</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43,158,191.59</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应收房产转让款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2,034,500.00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应收股权款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22,886,000.00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1,144,300.00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50FA">
            <w:pPr>
              <w:spacing w:line="240" w:lineRule="exact"/>
              <w:rPr>
                <w:rFonts w:ascii="宋体" w:eastAsia="宋体" w:hAnsi="宋体" w:cs="宋体"/>
                <w:sz w:val="18"/>
                <w:szCs w:val="18"/>
              </w:rPr>
            </w:pPr>
            <w:r>
              <w:rPr>
                <w:rFonts w:ascii="宋体" w:eastAsia="宋体" w:hAnsi="宋体" w:cs="宋体" w:hint="eastAsia"/>
                <w:sz w:val="18"/>
                <w:szCs w:val="18"/>
              </w:rPr>
              <w:t>保证金</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r>
      <w:tr w:rsidR="00037019" w:rsidTr="00EB1417">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265,767,468.54</w:t>
            </w:r>
          </w:p>
        </w:tc>
        <w:tc>
          <w:tcPr>
            <w:tcW w:w="160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54.55%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75,675,657.53</w:t>
            </w:r>
          </w:p>
        </w:tc>
      </w:tr>
    </w:tbl>
    <w:p w:rsidR="00037019" w:rsidRDefault="00BE788E">
      <w:pPr>
        <w:keepNext/>
        <w:keepLines/>
        <w:spacing w:before="300" w:after="300" w:line="280" w:lineRule="exact"/>
        <w:outlineLvl w:val="4"/>
        <w:rPr>
          <w:rFonts w:ascii="宋体" w:eastAsia="宋体" w:hAnsi="宋体" w:cs="宋体"/>
          <w:b/>
          <w:bCs/>
          <w:szCs w:val="21"/>
        </w:rPr>
      </w:pPr>
      <w:bookmarkStart w:id="206" w:name="_Toc989120"/>
      <w:r>
        <w:rPr>
          <w:rFonts w:ascii="宋体" w:eastAsia="宋体" w:hAnsi="宋体" w:cs="宋体"/>
          <w:b/>
          <w:bCs/>
          <w:szCs w:val="21"/>
        </w:rPr>
        <w:t>7） 因资金集中管理而列报于其他应收款</w:t>
      </w:r>
      <w:bookmarkEnd w:id="206"/>
    </w:p>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07" w:name="_Toc989121"/>
      <w:r>
        <w:rPr>
          <w:rFonts w:ascii="宋体" w:hAnsi="宋体" w:cs="宋体"/>
          <w:b/>
          <w:bCs/>
        </w:rPr>
        <w:t>9、预付款项</w:t>
      </w:r>
      <w:bookmarkEnd w:id="207"/>
    </w:p>
    <w:p w:rsidR="00037019" w:rsidRDefault="00BE788E">
      <w:pPr>
        <w:keepNext/>
        <w:keepLines/>
        <w:spacing w:before="300" w:after="300" w:line="280" w:lineRule="exact"/>
        <w:outlineLvl w:val="3"/>
        <w:rPr>
          <w:rFonts w:ascii="宋体" w:eastAsia="宋体" w:hAnsi="宋体" w:cs="宋体"/>
          <w:b/>
          <w:bCs/>
          <w:szCs w:val="21"/>
        </w:rPr>
      </w:pPr>
      <w:bookmarkStart w:id="208" w:name="_Toc989122"/>
      <w:r>
        <w:rPr>
          <w:rFonts w:ascii="宋体" w:eastAsia="宋体" w:hAnsi="宋体" w:cs="宋体"/>
          <w:b/>
          <w:bCs/>
          <w:szCs w:val="21"/>
        </w:rPr>
        <w:t>（1） 预付</w:t>
      </w:r>
      <w:proofErr w:type="gramStart"/>
      <w:r>
        <w:rPr>
          <w:rFonts w:ascii="宋体" w:eastAsia="宋体" w:hAnsi="宋体" w:cs="宋体"/>
          <w:b/>
          <w:bCs/>
          <w:szCs w:val="21"/>
        </w:rPr>
        <w:t>款项按账龄</w:t>
      </w:r>
      <w:proofErr w:type="gramEnd"/>
      <w:r>
        <w:rPr>
          <w:rFonts w:ascii="宋体" w:eastAsia="宋体" w:hAnsi="宋体" w:cs="宋体"/>
          <w:b/>
          <w:bCs/>
          <w:szCs w:val="21"/>
        </w:rPr>
        <w:t>列示</w:t>
      </w:r>
      <w:bookmarkEnd w:id="20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1,300,034,982.02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99.61%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608,806,681.75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99.26%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3,356,636.84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3,748,080.54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0.61%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1,624,457.03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756,516.88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0.12%</w:t>
            </w:r>
          </w:p>
        </w:tc>
      </w:tr>
      <w:tr w:rsidR="00037019" w:rsidTr="00EB141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64,703.59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BE50FA">
            <w:pPr>
              <w:spacing w:line="240" w:lineRule="exact"/>
              <w:jc w:val="right"/>
              <w:rPr>
                <w:rFonts w:ascii="宋体" w:eastAsia="宋体" w:hAnsi="宋体" w:cs="宋体"/>
                <w:sz w:val="18"/>
                <w:szCs w:val="18"/>
              </w:rPr>
            </w:pPr>
            <w:r>
              <w:rPr>
                <w:rFonts w:ascii="宋体" w:eastAsia="宋体" w:hAnsi="宋体" w:cs="宋体"/>
                <w:sz w:val="18"/>
                <w:szCs w:val="18"/>
              </w:rPr>
              <w:t>0.0</w:t>
            </w:r>
            <w:r w:rsidR="00BE50FA">
              <w:rPr>
                <w:rFonts w:ascii="宋体" w:eastAsia="宋体" w:hAnsi="宋体" w:cs="宋体" w:hint="eastAsia"/>
                <w:sz w:val="18"/>
                <w:szCs w:val="18"/>
              </w:rPr>
              <w:t>1</w:t>
            </w: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50,964.83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r>
      <w:tr w:rsidR="00037019" w:rsidTr="00EB1417">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1,305,080,779.48</w:t>
            </w:r>
          </w:p>
        </w:tc>
        <w:tc>
          <w:tcPr>
            <w:tcW w:w="1928"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613,362,244.00</w:t>
            </w:r>
          </w:p>
        </w:tc>
        <w:tc>
          <w:tcPr>
            <w:tcW w:w="1928"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EB1417" w:rsidRDefault="00BE788E" w:rsidP="00EB1417">
      <w:pPr>
        <w:spacing w:before="100" w:after="100" w:line="240" w:lineRule="exact"/>
        <w:rPr>
          <w:rFonts w:ascii="宋体" w:eastAsia="宋体" w:hAnsi="宋体" w:cs="宋体"/>
          <w:sz w:val="18"/>
          <w:szCs w:val="18"/>
        </w:rPr>
      </w:pPr>
      <w:r>
        <w:rPr>
          <w:rFonts w:ascii="宋体" w:eastAsia="宋体" w:hAnsi="宋体" w:cs="宋体"/>
          <w:sz w:val="18"/>
          <w:szCs w:val="18"/>
        </w:rPr>
        <w:t>账龄超过1年且金额重要的预付款项未及时结算原因的说明：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09" w:name="_Toc989123"/>
      <w:r>
        <w:rPr>
          <w:rFonts w:ascii="宋体" w:eastAsia="宋体" w:hAnsi="宋体" w:cs="宋体"/>
          <w:b/>
          <w:bCs/>
          <w:szCs w:val="21"/>
        </w:rPr>
        <w:t>（2） 按预付对象归集的期末余额前五名的预付款情况</w:t>
      </w:r>
      <w:bookmarkEnd w:id="209"/>
    </w:p>
    <w:p w:rsidR="00BE788E" w:rsidRDefault="00BE788E" w:rsidP="00C67D9A">
      <w:pPr>
        <w:pStyle w:val="a3"/>
        <w:jc w:val="right"/>
        <w:divId w:val="1788163054"/>
        <w:rPr>
          <w:sz w:val="18"/>
          <w:szCs w:val="18"/>
        </w:rPr>
      </w:pPr>
      <w:r>
        <w:rPr>
          <w:rFonts w:hint="eastAsia"/>
          <w:sz w:val="18"/>
          <w:szCs w:val="18"/>
        </w:rPr>
        <w:t>                                                         单位：元</w:t>
      </w:r>
    </w:p>
    <w:tbl>
      <w:tblPr>
        <w:tblW w:w="9513" w:type="dxa"/>
        <w:tblCellMar>
          <w:left w:w="0" w:type="dxa"/>
          <w:right w:w="0" w:type="dxa"/>
        </w:tblCellMar>
        <w:tblLook w:val="04A0" w:firstRow="1" w:lastRow="0" w:firstColumn="1" w:lastColumn="0" w:noHBand="0" w:noVBand="1"/>
      </w:tblPr>
      <w:tblGrid>
        <w:gridCol w:w="1902"/>
        <w:gridCol w:w="1903"/>
        <w:gridCol w:w="1902"/>
        <w:gridCol w:w="1903"/>
        <w:gridCol w:w="1903"/>
      </w:tblGrid>
      <w:tr w:rsidR="00BE788E" w:rsidTr="00EB1417">
        <w:trPr>
          <w:divId w:val="1788163054"/>
          <w:trHeight w:val="711"/>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lastRenderedPageBreak/>
              <w:t> 单位名称 </w:t>
            </w:r>
          </w:p>
        </w:tc>
        <w:tc>
          <w:tcPr>
            <w:tcW w:w="1903"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期末余额 </w:t>
            </w:r>
          </w:p>
        </w:tc>
        <w:tc>
          <w:tcPr>
            <w:tcW w:w="1902"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占预付账款期末余额的比</w:t>
            </w:r>
            <w:r w:rsidRPr="00EB1417">
              <w:rPr>
                <w:rFonts w:asciiTheme="minorEastAsia" w:hAnsiTheme="minorEastAsia"/>
                <w:color w:val="000000"/>
                <w:sz w:val="18"/>
                <w:szCs w:val="18"/>
              </w:rPr>
              <w:t>例(%) </w:t>
            </w:r>
          </w:p>
        </w:tc>
        <w:tc>
          <w:tcPr>
            <w:tcW w:w="1903"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账龄 </w:t>
            </w:r>
          </w:p>
        </w:tc>
        <w:tc>
          <w:tcPr>
            <w:tcW w:w="1903" w:type="dxa"/>
            <w:tcBorders>
              <w:top w:val="single" w:sz="8" w:space="0" w:color="auto"/>
              <w:left w:val="nil"/>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center"/>
              <w:rPr>
                <w:rFonts w:asciiTheme="minorEastAsia" w:hAnsiTheme="minorEastAsia" w:cs="宋体"/>
                <w:color w:val="000000"/>
                <w:sz w:val="18"/>
                <w:szCs w:val="18"/>
              </w:rPr>
            </w:pPr>
            <w:r w:rsidRPr="00EB1417">
              <w:rPr>
                <w:rFonts w:asciiTheme="minorEastAsia" w:hAnsiTheme="minorEastAsia" w:hint="eastAsia"/>
                <w:color w:val="000000"/>
                <w:sz w:val="18"/>
                <w:szCs w:val="18"/>
              </w:rPr>
              <w:t> 未结算原因 </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第一名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138,299,273.65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10.60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第二名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111,350,000.00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8.53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第三名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102,666,932.03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7.87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第四名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98,968,000.00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7.58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12"/>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pPr>
              <w:jc w:val="both"/>
              <w:rPr>
                <w:rFonts w:asciiTheme="minorEastAsia" w:hAnsiTheme="minorEastAsia" w:cs="宋体"/>
                <w:color w:val="000000"/>
                <w:sz w:val="18"/>
                <w:szCs w:val="18"/>
              </w:rPr>
            </w:pPr>
            <w:r w:rsidRPr="00EB1417">
              <w:rPr>
                <w:rFonts w:asciiTheme="minorEastAsia" w:hAnsiTheme="minorEastAsia" w:hint="eastAsia"/>
                <w:color w:val="000000"/>
                <w:sz w:val="18"/>
                <w:szCs w:val="18"/>
              </w:rPr>
              <w:t>第五名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82,454,500.00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6.32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1 年以内</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合同未执行完毕</w:t>
            </w:r>
          </w:p>
        </w:tc>
      </w:tr>
      <w:tr w:rsidR="00BE788E" w:rsidTr="00EB1417">
        <w:trPr>
          <w:divId w:val="1788163054"/>
          <w:trHeight w:val="327"/>
        </w:trPr>
        <w:tc>
          <w:tcPr>
            <w:tcW w:w="1902" w:type="dxa"/>
            <w:tcBorders>
              <w:top w:val="single" w:sz="8" w:space="0" w:color="auto"/>
              <w:left w:val="single" w:sz="8" w:space="0" w:color="auto"/>
              <w:bottom w:val="single" w:sz="8" w:space="0" w:color="auto"/>
              <w:right w:val="single" w:sz="8" w:space="0" w:color="auto"/>
            </w:tcBorders>
            <w:shd w:val="clear" w:color="auto" w:fill="D3D3D3"/>
            <w:tcMar>
              <w:top w:w="15" w:type="dxa"/>
              <w:left w:w="15" w:type="dxa"/>
              <w:bottom w:w="0" w:type="dxa"/>
              <w:right w:w="15" w:type="dxa"/>
            </w:tcMar>
            <w:vAlign w:val="center"/>
            <w:hideMark/>
          </w:tcPr>
          <w:p w:rsidR="00BE788E" w:rsidRPr="00EB1417" w:rsidRDefault="00BE788E" w:rsidP="00C67D9A">
            <w:pPr>
              <w:rPr>
                <w:rFonts w:asciiTheme="minorEastAsia" w:hAnsiTheme="minorEastAsia" w:cs="宋体"/>
                <w:color w:val="000000"/>
                <w:sz w:val="18"/>
                <w:szCs w:val="18"/>
              </w:rPr>
            </w:pPr>
            <w:r w:rsidRPr="00EB1417">
              <w:rPr>
                <w:rFonts w:asciiTheme="minorEastAsia" w:hAnsiTheme="minorEastAsia" w:hint="eastAsia"/>
                <w:color w:val="000000"/>
                <w:sz w:val="18"/>
                <w:szCs w:val="18"/>
              </w:rPr>
              <w:t>合计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533,738,705.68 </w:t>
            </w:r>
          </w:p>
        </w:tc>
        <w:tc>
          <w:tcPr>
            <w:tcW w:w="190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pPr>
              <w:jc w:val="right"/>
              <w:rPr>
                <w:rFonts w:asciiTheme="minorEastAsia" w:hAnsiTheme="minorEastAsia" w:cs="宋体"/>
                <w:color w:val="000000"/>
                <w:sz w:val="18"/>
                <w:szCs w:val="18"/>
              </w:rPr>
            </w:pPr>
            <w:r w:rsidRPr="00EB1417">
              <w:rPr>
                <w:rFonts w:asciiTheme="minorEastAsia" w:hAnsiTheme="minorEastAsia"/>
                <w:color w:val="000000"/>
                <w:sz w:val="18"/>
                <w:szCs w:val="18"/>
              </w:rPr>
              <w:t> 40.90 </w:t>
            </w:r>
          </w:p>
        </w:tc>
        <w:tc>
          <w:tcPr>
            <w:tcW w:w="190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18"/>
                <w:szCs w:val="18"/>
              </w:rPr>
            </w:pPr>
            <w:r w:rsidRPr="00EB1417">
              <w:rPr>
                <w:rFonts w:asciiTheme="minorEastAsia" w:hAnsiTheme="minorEastAsia"/>
                <w:color w:val="000000"/>
                <w:sz w:val="18"/>
                <w:szCs w:val="18"/>
              </w:rPr>
              <w:t> </w:t>
            </w:r>
          </w:p>
        </w:tc>
        <w:tc>
          <w:tcPr>
            <w:tcW w:w="1903" w:type="dxa"/>
            <w:tcBorders>
              <w:top w:val="nil"/>
              <w:left w:val="nil"/>
              <w:bottom w:val="single" w:sz="8" w:space="0" w:color="auto"/>
              <w:right w:val="single" w:sz="8" w:space="0" w:color="auto"/>
            </w:tcBorders>
            <w:noWrap/>
            <w:tcMar>
              <w:top w:w="15" w:type="dxa"/>
              <w:left w:w="15" w:type="dxa"/>
              <w:bottom w:w="0" w:type="dxa"/>
              <w:right w:w="15" w:type="dxa"/>
            </w:tcMar>
            <w:vAlign w:val="center"/>
            <w:hideMark/>
          </w:tcPr>
          <w:p w:rsidR="00BE788E" w:rsidRPr="00EB1417" w:rsidRDefault="00BE788E" w:rsidP="00C67D9A">
            <w:pPr>
              <w:jc w:val="right"/>
              <w:rPr>
                <w:rFonts w:asciiTheme="minorEastAsia" w:hAnsiTheme="minorEastAsia" w:cs="宋体"/>
                <w:color w:val="000000"/>
                <w:sz w:val="22"/>
              </w:rPr>
            </w:pPr>
            <w:r w:rsidRPr="00EB1417">
              <w:rPr>
                <w:rFonts w:asciiTheme="minorEastAsia" w:hAnsiTheme="minorEastAsia"/>
                <w:color w:val="000000"/>
                <w:sz w:val="22"/>
              </w:rPr>
              <w:t> </w:t>
            </w:r>
          </w:p>
        </w:tc>
      </w:tr>
    </w:tbl>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10" w:name="_Toc989124"/>
      <w:r>
        <w:rPr>
          <w:rFonts w:ascii="宋体" w:hAnsi="宋体" w:cs="宋体"/>
          <w:b/>
          <w:bCs/>
        </w:rPr>
        <w:t>10、存货</w:t>
      </w:r>
      <w:bookmarkEnd w:id="210"/>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公司是否需要遵守房地产行业的披露要求</w:t>
      </w:r>
    </w:p>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否</w:t>
      </w:r>
      <w:proofErr w:type="gramEnd"/>
    </w:p>
    <w:p w:rsidR="00037019" w:rsidRDefault="00BE788E">
      <w:pPr>
        <w:keepNext/>
        <w:keepLines/>
        <w:spacing w:before="300" w:after="300" w:line="280" w:lineRule="exact"/>
        <w:outlineLvl w:val="3"/>
        <w:rPr>
          <w:rFonts w:ascii="宋体" w:eastAsia="宋体" w:hAnsi="宋体" w:cs="宋体"/>
          <w:b/>
          <w:bCs/>
          <w:szCs w:val="21"/>
        </w:rPr>
      </w:pPr>
      <w:bookmarkStart w:id="211" w:name="_Toc989125"/>
      <w:r>
        <w:rPr>
          <w:rFonts w:ascii="宋体" w:eastAsia="宋体" w:hAnsi="宋体" w:cs="宋体"/>
          <w:b/>
          <w:bCs/>
          <w:szCs w:val="21"/>
        </w:rPr>
        <w:t>（1） 存货分类</w:t>
      </w:r>
      <w:bookmarkEnd w:id="21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42"/>
        <w:gridCol w:w="1512"/>
        <w:gridCol w:w="1377"/>
        <w:gridCol w:w="1377"/>
        <w:gridCol w:w="1377"/>
        <w:gridCol w:w="1377"/>
        <w:gridCol w:w="1377"/>
      </w:tblGrid>
      <w:tr w:rsidR="00037019" w:rsidTr="00C67D9A">
        <w:trPr>
          <w:cantSplit/>
          <w:trHeight w:val="240"/>
        </w:trPr>
        <w:tc>
          <w:tcPr>
            <w:tcW w:w="124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266"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C67D9A">
        <w:trPr>
          <w:cantSplit/>
          <w:trHeight w:val="240"/>
        </w:trPr>
        <w:tc>
          <w:tcPr>
            <w:tcW w:w="124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1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1,053,975,400.97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4,212,287.65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1,049,763,113.32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2,492,733,151.22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3,556,409.24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2,489,176,741.98</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164,557,492.62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3,043,408.48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161,514,084.14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163,932,330.28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3,233,890.46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160,698,439.82</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2,334,658,928.85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67,691,086.34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2,266,967,842.51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2,253,552,128.04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66,423,579.54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2,187,128,548.50</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周转材料</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24,179,932.98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24,179,932.98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5,045,546.96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5,045,546.96</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发出商品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11,737,078.17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11,737,078.17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10,705,222.84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10,705,222.84</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委托加工物资</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651,989.00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651,989.00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1,412,778.27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1,412,778.27</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自制半成品</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188,944,501.74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188,944,501.74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153,299,308.76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153,299,308.76</w:t>
            </w:r>
          </w:p>
        </w:tc>
      </w:tr>
      <w:tr w:rsidR="00037019" w:rsidTr="00C67D9A">
        <w:trPr>
          <w:cantSplit/>
          <w:trHeight w:val="240"/>
        </w:trPr>
        <w:tc>
          <w:tcPr>
            <w:tcW w:w="124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1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3,778,705,324.33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74,946,782.47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3,703,758,541.86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5,080,680,466.37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73,213,879.24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5,007,466,587.13</w:t>
            </w:r>
          </w:p>
        </w:tc>
      </w:tr>
    </w:tbl>
    <w:p w:rsidR="00037019" w:rsidRDefault="00BE788E">
      <w:pPr>
        <w:keepNext/>
        <w:keepLines/>
        <w:spacing w:before="300" w:after="300" w:line="280" w:lineRule="exact"/>
        <w:outlineLvl w:val="3"/>
        <w:rPr>
          <w:rFonts w:ascii="宋体" w:eastAsia="宋体" w:hAnsi="宋体" w:cs="宋体"/>
          <w:b/>
          <w:bCs/>
          <w:szCs w:val="21"/>
        </w:rPr>
      </w:pPr>
      <w:bookmarkStart w:id="212" w:name="_Toc989126"/>
      <w:r>
        <w:rPr>
          <w:rFonts w:ascii="宋体" w:eastAsia="宋体" w:hAnsi="宋体" w:cs="宋体"/>
          <w:b/>
          <w:bCs/>
          <w:szCs w:val="21"/>
        </w:rPr>
        <w:t>（2）</w:t>
      </w:r>
      <w:bookmarkStart w:id="213" w:name="_Toc989127"/>
      <w:bookmarkEnd w:id="212"/>
      <w:r>
        <w:rPr>
          <w:rFonts w:ascii="宋体" w:eastAsia="宋体" w:hAnsi="宋体" w:cs="宋体"/>
          <w:b/>
          <w:bCs/>
          <w:szCs w:val="21"/>
        </w:rPr>
        <w:t>存货跌价准备和合同履约成本减值准备</w:t>
      </w:r>
      <w:bookmarkEnd w:id="21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转回或转销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3,556,409.24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655,878.41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4,212,287.65</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3,233,890.46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217,798.64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408,280.62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3,043,408.48</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66,423,579.54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1,444,854.38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2,160,168.40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-1,982,820.82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67,691,086.34</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73,213,879.24</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2,568,449.02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-1,982,820.82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74,946,782.47</w:t>
            </w:r>
          </w:p>
        </w:tc>
      </w:tr>
    </w:tbl>
    <w:p w:rsidR="00BE788E" w:rsidRDefault="00BE788E">
      <w:pPr>
        <w:pStyle w:val="a3"/>
        <w:divId w:val="1935548945"/>
        <w:rPr>
          <w:sz w:val="18"/>
          <w:szCs w:val="18"/>
        </w:rPr>
      </w:pPr>
      <w:r>
        <w:rPr>
          <w:rFonts w:hint="eastAsia"/>
          <w:sz w:val="18"/>
          <w:szCs w:val="18"/>
        </w:rPr>
        <w:t>期末存货按成本高于可变现净值的差额计提存货跌价准备，确定可变现净值的依据为：在正常生产经营过程中，以存货的估计售价减去至完工估计将要发生的成本、估计的销售费用以及相关税费后的金额。</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按组合计提存货跌价准备的计提标准</w:t>
      </w:r>
    </w:p>
    <w:p w:rsidR="00BE788E" w:rsidRDefault="00BE788E">
      <w:pPr>
        <w:pStyle w:val="a3"/>
        <w:divId w:val="188358782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14" w:name="_Toc989128"/>
      <w:r>
        <w:rPr>
          <w:rFonts w:ascii="宋体" w:eastAsia="宋体" w:hAnsi="宋体" w:cs="宋体"/>
          <w:b/>
          <w:bCs/>
          <w:szCs w:val="21"/>
        </w:rPr>
        <w:t>（</w:t>
      </w:r>
      <w:r w:rsidR="00C67D9A">
        <w:rPr>
          <w:rFonts w:ascii="宋体" w:eastAsia="宋体" w:hAnsi="宋体" w:cs="宋体" w:hint="eastAsia"/>
          <w:b/>
          <w:bCs/>
          <w:szCs w:val="21"/>
        </w:rPr>
        <w:t>3</w:t>
      </w:r>
      <w:r>
        <w:rPr>
          <w:rFonts w:ascii="宋体" w:eastAsia="宋体" w:hAnsi="宋体" w:cs="宋体"/>
          <w:b/>
          <w:bCs/>
          <w:szCs w:val="21"/>
        </w:rPr>
        <w:t>） 存货期末余额含有借款费用资本</w:t>
      </w:r>
      <w:proofErr w:type="gramStart"/>
      <w:r>
        <w:rPr>
          <w:rFonts w:ascii="宋体" w:eastAsia="宋体" w:hAnsi="宋体" w:cs="宋体"/>
          <w:b/>
          <w:bCs/>
          <w:szCs w:val="21"/>
        </w:rPr>
        <w:t>化金额</w:t>
      </w:r>
      <w:proofErr w:type="gramEnd"/>
      <w:r>
        <w:rPr>
          <w:rFonts w:ascii="宋体" w:eastAsia="宋体" w:hAnsi="宋体" w:cs="宋体"/>
          <w:b/>
          <w:bCs/>
          <w:szCs w:val="21"/>
        </w:rPr>
        <w:t>的说明</w:t>
      </w:r>
      <w:bookmarkEnd w:id="214"/>
    </w:p>
    <w:p w:rsidR="00BE788E" w:rsidRDefault="00BE788E">
      <w:pPr>
        <w:pStyle w:val="a3"/>
        <w:divId w:val="2146700404"/>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15" w:name="_Toc989129"/>
      <w:r>
        <w:rPr>
          <w:rFonts w:ascii="宋体" w:eastAsia="宋体" w:hAnsi="宋体" w:cs="宋体"/>
          <w:b/>
          <w:bCs/>
          <w:szCs w:val="21"/>
        </w:rPr>
        <w:t>（</w:t>
      </w:r>
      <w:r w:rsidR="00C67D9A">
        <w:rPr>
          <w:rFonts w:ascii="宋体" w:eastAsia="宋体" w:hAnsi="宋体" w:cs="宋体" w:hint="eastAsia"/>
          <w:b/>
          <w:bCs/>
          <w:szCs w:val="21"/>
        </w:rPr>
        <w:t>4</w:t>
      </w:r>
      <w:r>
        <w:rPr>
          <w:rFonts w:ascii="宋体" w:eastAsia="宋体" w:hAnsi="宋体" w:cs="宋体"/>
          <w:b/>
          <w:bCs/>
          <w:szCs w:val="21"/>
        </w:rPr>
        <w:t>） 合同履约成本本期摊销金额的说明</w:t>
      </w:r>
      <w:bookmarkEnd w:id="215"/>
    </w:p>
    <w:p w:rsidR="00BE788E" w:rsidRDefault="00BE788E">
      <w:pPr>
        <w:pStyle w:val="a3"/>
        <w:divId w:val="139265167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16" w:name="_Toc989130"/>
      <w:r>
        <w:rPr>
          <w:rFonts w:ascii="宋体" w:hAnsi="宋体" w:cs="宋体"/>
          <w:b/>
          <w:bCs/>
        </w:rPr>
        <w:t>11、持有待售资产</w:t>
      </w:r>
      <w:bookmarkEnd w:id="21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BE788E" w:rsidRDefault="00BE788E">
      <w:pPr>
        <w:pStyle w:val="a3"/>
        <w:divId w:val="135006268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17" w:name="_Toc989131"/>
      <w:r>
        <w:rPr>
          <w:rFonts w:ascii="宋体" w:hAnsi="宋体" w:cs="宋体"/>
          <w:b/>
          <w:bCs/>
        </w:rPr>
        <w:t>12、一年内到期的非流动资产</w:t>
      </w:r>
      <w:bookmarkEnd w:id="21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一年内到期的长期应收款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2,934,612.50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2,931,142.48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2,934,612.50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2,931,142.48</w:t>
            </w:r>
          </w:p>
        </w:tc>
      </w:tr>
    </w:tbl>
    <w:p w:rsidR="00037019" w:rsidRDefault="00BE788E">
      <w:pPr>
        <w:keepNext/>
        <w:keepLines/>
        <w:spacing w:before="300" w:after="300" w:line="280" w:lineRule="exact"/>
        <w:outlineLvl w:val="3"/>
        <w:rPr>
          <w:rFonts w:ascii="宋体" w:eastAsia="宋体" w:hAnsi="宋体" w:cs="宋体"/>
          <w:b/>
          <w:bCs/>
          <w:szCs w:val="21"/>
        </w:rPr>
      </w:pPr>
      <w:bookmarkStart w:id="218" w:name="_Toc989132"/>
      <w:r>
        <w:rPr>
          <w:rFonts w:ascii="宋体" w:eastAsia="宋体" w:hAnsi="宋体" w:cs="宋体"/>
          <w:b/>
          <w:bCs/>
          <w:szCs w:val="21"/>
        </w:rPr>
        <w:t>（1） 一年内到期的债权投资</w:t>
      </w:r>
      <w:bookmarkEnd w:id="218"/>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219" w:name="_Toc989133"/>
      <w:r>
        <w:rPr>
          <w:rFonts w:ascii="宋体" w:eastAsia="宋体" w:hAnsi="宋体" w:cs="宋体"/>
          <w:b/>
          <w:bCs/>
          <w:szCs w:val="21"/>
        </w:rPr>
        <w:t>（2） 一年内到期的其他债权投资</w:t>
      </w:r>
      <w:bookmarkEnd w:id="21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20" w:name="_Toc989134"/>
      <w:r>
        <w:rPr>
          <w:rFonts w:ascii="宋体" w:hAnsi="宋体" w:cs="宋体"/>
          <w:b/>
          <w:bCs/>
        </w:rPr>
        <w:t>13、其他流动资产</w:t>
      </w:r>
      <w:bookmarkEnd w:id="22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143,433,056.01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118,468,377.90</w:t>
            </w:r>
          </w:p>
        </w:tc>
      </w:tr>
      <w:tr w:rsidR="00037019" w:rsidTr="00C67D9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以</w:t>
            </w:r>
            <w:proofErr w:type="gramStart"/>
            <w:r>
              <w:rPr>
                <w:rFonts w:ascii="宋体" w:eastAsia="宋体" w:hAnsi="宋体" w:cs="宋体"/>
                <w:sz w:val="18"/>
                <w:szCs w:val="18"/>
              </w:rPr>
              <w:t>抵销</w:t>
            </w:r>
            <w:proofErr w:type="gramEnd"/>
            <w:r>
              <w:rPr>
                <w:rFonts w:ascii="宋体" w:eastAsia="宋体" w:hAnsi="宋体" w:cs="宋体"/>
                <w:sz w:val="18"/>
                <w:szCs w:val="18"/>
              </w:rPr>
              <w:t>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1,419,988.30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6,622,702.65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144,853,044.31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125,091,080.55</w:t>
            </w:r>
          </w:p>
        </w:tc>
      </w:tr>
    </w:tbl>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21" w:name="_Toc989135"/>
      <w:r>
        <w:rPr>
          <w:rFonts w:ascii="宋体" w:hAnsi="宋体" w:cs="宋体"/>
          <w:b/>
          <w:bCs/>
        </w:rPr>
        <w:lastRenderedPageBreak/>
        <w:t>14、债权投资</w:t>
      </w:r>
      <w:bookmarkEnd w:id="221"/>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C67D9A">
        <w:rPr>
          <w:rFonts w:ascii="宋体" w:eastAsia="宋体" w:hAnsi="宋体" w:cs="宋体" w:hint="eastAsia"/>
          <w:sz w:val="18"/>
          <w:szCs w:val="18"/>
        </w:rPr>
        <w:t>无。</w:t>
      </w:r>
    </w:p>
    <w:p w:rsidR="00037019" w:rsidRDefault="00BE788E">
      <w:pPr>
        <w:pStyle w:val="3"/>
        <w:spacing w:line="280" w:lineRule="exact"/>
        <w:jc w:val="left"/>
        <w:rPr>
          <w:rFonts w:ascii="宋体" w:hAnsi="宋体" w:cs="宋体"/>
          <w:b/>
          <w:bCs/>
        </w:rPr>
      </w:pPr>
      <w:bookmarkStart w:id="222" w:name="_Toc989140"/>
      <w:r>
        <w:rPr>
          <w:rFonts w:ascii="宋体" w:hAnsi="宋体" w:cs="宋体"/>
          <w:b/>
          <w:bCs/>
        </w:rPr>
        <w:t>15、其他债权投资</w:t>
      </w:r>
      <w:bookmarkEnd w:id="222"/>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23" w:name="_Toc989145"/>
      <w:r>
        <w:rPr>
          <w:rFonts w:ascii="宋体" w:hAnsi="宋体" w:cs="宋体"/>
          <w:b/>
          <w:bCs/>
        </w:rPr>
        <w:t>16、其他权益工具投资</w:t>
      </w:r>
      <w:bookmarkEnd w:id="22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447"/>
        <w:gridCol w:w="1134"/>
        <w:gridCol w:w="632"/>
        <w:gridCol w:w="786"/>
        <w:gridCol w:w="708"/>
        <w:gridCol w:w="1276"/>
        <w:gridCol w:w="1514"/>
        <w:gridCol w:w="1071"/>
      </w:tblGrid>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44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本期计入其他综合收益的利得</w:t>
            </w:r>
          </w:p>
        </w:tc>
        <w:tc>
          <w:tcPr>
            <w:tcW w:w="63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本期计入其他综合收益的损失</w:t>
            </w:r>
          </w:p>
        </w:tc>
        <w:tc>
          <w:tcPr>
            <w:tcW w:w="78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本期末累计计入其他综合收益的利得</w:t>
            </w:r>
          </w:p>
        </w:tc>
        <w:tc>
          <w:tcPr>
            <w:tcW w:w="70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本期末累计计入其他综合收益的损失</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本期确认的股利收入</w:t>
            </w:r>
          </w:p>
        </w:tc>
        <w:tc>
          <w:tcPr>
            <w:tcW w:w="151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浙江八达股份有限公司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浙江凯旋股份有限公司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892,500.00</w:t>
            </w: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杭州英涉时装</w:t>
            </w:r>
            <w:proofErr w:type="gramEnd"/>
            <w:r>
              <w:rPr>
                <w:rFonts w:ascii="宋体" w:eastAsia="宋体" w:hAnsi="宋体" w:cs="宋体"/>
                <w:sz w:val="18"/>
                <w:szCs w:val="18"/>
              </w:rPr>
              <w:t>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54,754,746.91</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1,088,358.68</w:t>
            </w: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55,843,105.59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广州思立德供应链管理有限公司</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共青城</w:t>
            </w:r>
            <w:proofErr w:type="gramStart"/>
            <w:r>
              <w:rPr>
                <w:rFonts w:ascii="宋体" w:eastAsia="宋体" w:hAnsi="宋体" w:cs="宋体"/>
                <w:sz w:val="18"/>
                <w:szCs w:val="18"/>
              </w:rPr>
              <w:t>龙芯创零创业</w:t>
            </w:r>
            <w:proofErr w:type="gramEnd"/>
            <w:r>
              <w:rPr>
                <w:rFonts w:ascii="宋体" w:eastAsia="宋体" w:hAnsi="宋体" w:cs="宋体"/>
                <w:sz w:val="18"/>
                <w:szCs w:val="18"/>
              </w:rPr>
              <w:t>投资基金合伙企业（有限合伙）</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C67D9A">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44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77,716,692.81</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1,088,358.68</w:t>
            </w:r>
          </w:p>
        </w:tc>
        <w:tc>
          <w:tcPr>
            <w:tcW w:w="63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8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892,500.00</w:t>
            </w:r>
          </w:p>
        </w:tc>
        <w:tc>
          <w:tcPr>
            <w:tcW w:w="151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79,305,051.49</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分项披露</w:t>
      </w:r>
      <w:proofErr w:type="gramStart"/>
      <w:r>
        <w:rPr>
          <w:rFonts w:ascii="宋体" w:eastAsia="宋体" w:hAnsi="宋体" w:cs="宋体"/>
          <w:sz w:val="18"/>
          <w:szCs w:val="18"/>
        </w:rPr>
        <w:t>本期非交易</w:t>
      </w:r>
      <w:proofErr w:type="gramEnd"/>
      <w:r>
        <w:rPr>
          <w:rFonts w:ascii="宋体" w:eastAsia="宋体" w:hAnsi="宋体" w:cs="宋体"/>
          <w:sz w:val="18"/>
          <w:szCs w:val="18"/>
        </w:rPr>
        <w:t>性权益工具投资</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999"/>
        <w:gridCol w:w="1418"/>
        <w:gridCol w:w="1134"/>
        <w:gridCol w:w="1417"/>
        <w:gridCol w:w="1917"/>
        <w:gridCol w:w="1377"/>
      </w:tblGrid>
      <w:tr w:rsidR="00037019" w:rsidTr="00C67D9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99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确认的股利收入</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累计利得</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累计损失</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其他综合收益转入留存收益的金额</w:t>
            </w:r>
          </w:p>
        </w:tc>
        <w:tc>
          <w:tcPr>
            <w:tcW w:w="19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其他综合收益转入留存收益的原因</w:t>
            </w:r>
          </w:p>
        </w:tc>
      </w:tr>
      <w:tr w:rsidR="00037019" w:rsidTr="00C67D9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徽商银行股份</w:t>
            </w:r>
            <w:r>
              <w:rPr>
                <w:rFonts w:ascii="宋体" w:eastAsia="宋体" w:hAnsi="宋体" w:cs="宋体"/>
                <w:sz w:val="18"/>
                <w:szCs w:val="18"/>
              </w:rPr>
              <w:lastRenderedPageBreak/>
              <w:t>有限公司</w:t>
            </w:r>
          </w:p>
        </w:tc>
        <w:tc>
          <w:tcPr>
            <w:tcW w:w="99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8,718,984.25</w:t>
            </w:r>
          </w:p>
        </w:tc>
        <w:tc>
          <w:tcPr>
            <w:tcW w:w="1134"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1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“三无”投资</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p>
    <w:p w:rsidR="00BE788E" w:rsidRDefault="00BE788E" w:rsidP="00C67D9A">
      <w:pPr>
        <w:pStyle w:val="a3"/>
        <w:spacing w:before="0" w:beforeAutospacing="0" w:after="0" w:afterAutospacing="0"/>
        <w:divId w:val="473838716"/>
        <w:rPr>
          <w:sz w:val="18"/>
          <w:szCs w:val="18"/>
        </w:rPr>
      </w:pPr>
      <w:r>
        <w:rPr>
          <w:rFonts w:hint="eastAsia"/>
          <w:sz w:val="18"/>
          <w:szCs w:val="18"/>
        </w:rPr>
        <w:t>（1）徽商银行(03698，HK)于2013年11月12日在香港联交所挂牌交易，本公司所持有徽商银行股份有限公司的投资拟长期持有，以资产负债表日收盘计算公允价值，公允价值变动计入其他综合收益。</w:t>
      </w:r>
    </w:p>
    <w:p w:rsidR="00BE788E" w:rsidRDefault="00BE788E" w:rsidP="00C67D9A">
      <w:pPr>
        <w:pStyle w:val="a3"/>
        <w:spacing w:before="0" w:beforeAutospacing="0" w:after="0" w:afterAutospacing="0"/>
        <w:divId w:val="473838716"/>
        <w:rPr>
          <w:sz w:val="18"/>
          <w:szCs w:val="18"/>
        </w:rPr>
      </w:pPr>
      <w:r>
        <w:rPr>
          <w:rFonts w:hint="eastAsia"/>
          <w:sz w:val="18"/>
          <w:szCs w:val="18"/>
        </w:rPr>
        <w:t>（2）其他公司的其他权益工具投资的公允价值可能估计金额分布范围很广，成本代表了该范围内对公允价值的最佳估计，</w:t>
      </w:r>
      <w:proofErr w:type="gramStart"/>
      <w:r>
        <w:rPr>
          <w:rFonts w:hint="eastAsia"/>
          <w:sz w:val="18"/>
          <w:szCs w:val="18"/>
        </w:rPr>
        <w:t>该成本</w:t>
      </w:r>
      <w:proofErr w:type="gramEnd"/>
      <w:r>
        <w:rPr>
          <w:rFonts w:hint="eastAsia"/>
          <w:sz w:val="18"/>
          <w:szCs w:val="18"/>
        </w:rPr>
        <w:t>可代表其在该分布范围内对公允价值的恰当估计。</w:t>
      </w:r>
    </w:p>
    <w:p w:rsidR="00037019" w:rsidRDefault="00BE788E">
      <w:pPr>
        <w:pStyle w:val="3"/>
        <w:spacing w:line="280" w:lineRule="exact"/>
        <w:jc w:val="left"/>
        <w:rPr>
          <w:rFonts w:ascii="宋体" w:hAnsi="宋体" w:cs="宋体"/>
          <w:b/>
          <w:bCs/>
        </w:rPr>
      </w:pPr>
      <w:bookmarkStart w:id="224" w:name="_Toc989146"/>
      <w:r>
        <w:rPr>
          <w:rFonts w:ascii="宋体" w:hAnsi="宋体" w:cs="宋体"/>
          <w:b/>
          <w:bCs/>
        </w:rPr>
        <w:t>17、长期应收款</w:t>
      </w:r>
      <w:bookmarkEnd w:id="224"/>
    </w:p>
    <w:p w:rsidR="00BE788E" w:rsidRDefault="00BE788E">
      <w:pPr>
        <w:pStyle w:val="a3"/>
        <w:divId w:val="56284009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25" w:name="_Toc989151"/>
      <w:r>
        <w:rPr>
          <w:rFonts w:ascii="宋体" w:hAnsi="宋体" w:cs="宋体"/>
          <w:b/>
          <w:bCs/>
        </w:rPr>
        <w:t>18、长期股权投资</w:t>
      </w:r>
      <w:bookmarkEnd w:id="22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037019">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37019">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037019">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r w:rsidR="00037019" w:rsidTr="00C67D9A">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-575,378.98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44,464,853.93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241,048,989.08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-1,537,592.00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1,718,320.57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241,229,717.65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-1,215,829.80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38,779,120.66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-3,328,800.78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1,718,320.57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-3,328,800.78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1,718,320.57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324,473,692.24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可收回金额按公允价值减去处置费用后的净额确定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r w:rsidR="00C67D9A">
        <w:rPr>
          <w:rFonts w:ascii="宋体" w:eastAsia="宋体" w:hAnsi="宋体" w:cs="宋体" w:hint="eastAsia"/>
          <w:sz w:val="18"/>
          <w:szCs w:val="18"/>
        </w:rPr>
        <w:t>：</w:t>
      </w:r>
      <w:r>
        <w:rPr>
          <w:rFonts w:hint="eastAsia"/>
          <w:sz w:val="18"/>
          <w:szCs w:val="18"/>
        </w:rPr>
        <w:t>无。</w:t>
      </w:r>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r w:rsidR="00C67D9A">
        <w:rPr>
          <w:rFonts w:ascii="宋体" w:eastAsia="宋体" w:hAnsi="宋体" w:cs="宋体" w:hint="eastAsia"/>
          <w:sz w:val="18"/>
          <w:szCs w:val="18"/>
        </w:rPr>
        <w:t>：</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C67D9A">
        <w:rPr>
          <w:rFonts w:ascii="宋体" w:eastAsia="宋体" w:hAnsi="宋体" w:cs="宋体"/>
          <w:sz w:val="18"/>
          <w:szCs w:val="18"/>
        </w:rPr>
        <w:t>：</w:t>
      </w:r>
    </w:p>
    <w:p w:rsidR="00BE788E" w:rsidRPr="00C67D9A" w:rsidRDefault="00BE788E" w:rsidP="00C67D9A">
      <w:pPr>
        <w:pStyle w:val="a3"/>
        <w:spacing w:before="0" w:beforeAutospacing="0" w:after="0" w:afterAutospacing="0"/>
        <w:divId w:val="503054348"/>
        <w:rPr>
          <w:rFonts w:asciiTheme="minorEastAsia" w:eastAsiaTheme="minorEastAsia" w:hAnsiTheme="minorEastAsia"/>
          <w:sz w:val="18"/>
          <w:szCs w:val="18"/>
        </w:rPr>
      </w:pPr>
      <w:r w:rsidRPr="00C67D9A">
        <w:rPr>
          <w:rFonts w:asciiTheme="minorEastAsia" w:eastAsiaTheme="minorEastAsia" w:hAnsiTheme="minorEastAsia" w:hint="eastAsia"/>
          <w:sz w:val="18"/>
          <w:szCs w:val="18"/>
        </w:rPr>
        <w:t>本公司子公司香港天成持有福田实业（集团）有限公司（以下简称福田实业，股票代码：</w:t>
      </w:r>
      <w:r w:rsidRPr="00C67D9A">
        <w:rPr>
          <w:rFonts w:asciiTheme="minorEastAsia" w:eastAsiaTheme="minorEastAsia" w:hAnsiTheme="minorEastAsia" w:cs="Calibri"/>
          <w:sz w:val="18"/>
          <w:szCs w:val="18"/>
        </w:rPr>
        <w:t>HK0420</w:t>
      </w:r>
      <w:r w:rsidRPr="00C67D9A">
        <w:rPr>
          <w:rFonts w:asciiTheme="minorEastAsia" w:eastAsiaTheme="minorEastAsia" w:hAnsiTheme="minorEastAsia" w:hint="eastAsia"/>
          <w:sz w:val="18"/>
          <w:szCs w:val="18"/>
        </w:rPr>
        <w:t>）</w:t>
      </w:r>
      <w:r w:rsidRPr="00C67D9A">
        <w:rPr>
          <w:rFonts w:asciiTheme="minorEastAsia" w:eastAsiaTheme="minorEastAsia" w:hAnsiTheme="minorEastAsia" w:cs="Calibri"/>
          <w:sz w:val="18"/>
          <w:szCs w:val="18"/>
        </w:rPr>
        <w:t>17.30%</w:t>
      </w:r>
      <w:r w:rsidRPr="00C67D9A">
        <w:rPr>
          <w:rFonts w:asciiTheme="minorEastAsia" w:eastAsiaTheme="minorEastAsia" w:hAnsiTheme="minorEastAsia" w:hint="eastAsia"/>
          <w:sz w:val="18"/>
          <w:szCs w:val="18"/>
        </w:rPr>
        <w:t>的股权及表决权。虽然该比例低于</w:t>
      </w:r>
      <w:r w:rsidRPr="00C67D9A">
        <w:rPr>
          <w:rFonts w:asciiTheme="minorEastAsia" w:eastAsiaTheme="minorEastAsia" w:hAnsiTheme="minorEastAsia" w:cs="Calibri"/>
          <w:sz w:val="18"/>
          <w:szCs w:val="18"/>
        </w:rPr>
        <w:t>20%</w:t>
      </w:r>
      <w:r w:rsidRPr="00C67D9A">
        <w:rPr>
          <w:rFonts w:asciiTheme="minorEastAsia" w:eastAsiaTheme="minorEastAsia" w:hAnsiTheme="minorEastAsia" w:hint="eastAsia"/>
          <w:sz w:val="18"/>
          <w:szCs w:val="18"/>
        </w:rPr>
        <w:t xml:space="preserve">，但由于本公司在福田实业董事会中派有代表并参与财务和经营政策的决策，所以本公司能够对福田实业施加重大影响。 </w:t>
      </w:r>
    </w:p>
    <w:p w:rsidR="00037019" w:rsidRDefault="00BE788E">
      <w:pPr>
        <w:pStyle w:val="3"/>
        <w:spacing w:line="280" w:lineRule="exact"/>
        <w:jc w:val="left"/>
        <w:rPr>
          <w:rFonts w:ascii="宋体" w:hAnsi="宋体" w:cs="宋体"/>
          <w:b/>
          <w:bCs/>
        </w:rPr>
      </w:pPr>
      <w:bookmarkStart w:id="226" w:name="_Toc989152"/>
      <w:r>
        <w:rPr>
          <w:rFonts w:ascii="宋体" w:hAnsi="宋体" w:cs="宋体"/>
          <w:b/>
          <w:bCs/>
        </w:rPr>
        <w:t>19、其他非流动金融资产</w:t>
      </w:r>
      <w:bookmarkEnd w:id="226"/>
    </w:p>
    <w:p w:rsidR="00BE788E" w:rsidRPr="00C67D9A" w:rsidRDefault="00BE788E" w:rsidP="00C67D9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27" w:name="_Toc989153"/>
      <w:r>
        <w:rPr>
          <w:rFonts w:ascii="宋体" w:hAnsi="宋体" w:cs="宋体"/>
          <w:b/>
          <w:bCs/>
        </w:rPr>
        <w:t>20、投资性房地产</w:t>
      </w:r>
      <w:bookmarkEnd w:id="227"/>
    </w:p>
    <w:p w:rsidR="00037019" w:rsidRDefault="00BE788E">
      <w:pPr>
        <w:keepNext/>
        <w:keepLines/>
        <w:spacing w:before="300" w:after="300" w:line="280" w:lineRule="exact"/>
        <w:outlineLvl w:val="3"/>
        <w:rPr>
          <w:rFonts w:ascii="宋体" w:eastAsia="宋体" w:hAnsi="宋体" w:cs="宋体"/>
          <w:b/>
          <w:bCs/>
          <w:sz w:val="18"/>
          <w:szCs w:val="18"/>
        </w:rPr>
      </w:pPr>
      <w:bookmarkStart w:id="228" w:name="_Toc989154"/>
      <w:r>
        <w:rPr>
          <w:rFonts w:ascii="宋体" w:eastAsia="宋体" w:hAnsi="宋体" w:cs="宋体"/>
          <w:b/>
          <w:bCs/>
          <w:sz w:val="18"/>
          <w:szCs w:val="18"/>
        </w:rPr>
        <w:t>（1） 采用成本计量模式的投资性房地产</w:t>
      </w:r>
      <w:bookmarkEnd w:id="228"/>
    </w:p>
    <w:p w:rsidR="00037019" w:rsidRDefault="00BE788E">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1560"/>
        <w:gridCol w:w="1320"/>
        <w:gridCol w:w="1321"/>
        <w:gridCol w:w="1928"/>
      </w:tblGrid>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房屋、建筑物</w:t>
            </w:r>
          </w:p>
        </w:tc>
        <w:tc>
          <w:tcPr>
            <w:tcW w:w="13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32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在建工程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183,173,513.25</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183,173,513.25</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2,688,869.84</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2,688,869.84</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（1）外购</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111,692.28</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111,692.28</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（2）存货\固定资产\在建工程转入</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C67D9A">
            <w:pPr>
              <w:spacing w:line="240" w:lineRule="exact"/>
              <w:ind w:firstLineChars="400" w:firstLine="720"/>
              <w:rPr>
                <w:rFonts w:ascii="宋体" w:eastAsia="宋体" w:hAnsi="宋体" w:cs="宋体"/>
                <w:sz w:val="18"/>
                <w:szCs w:val="18"/>
              </w:rPr>
            </w:pPr>
            <w:r>
              <w:rPr>
                <w:rFonts w:ascii="宋体" w:eastAsia="宋体" w:hAnsi="宋体" w:cs="宋体"/>
                <w:sz w:val="18"/>
                <w:szCs w:val="18"/>
              </w:rPr>
              <w:t>（3）转自用房地产</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183,934,379.30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183,934,379.30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二、累计折旧和累计摊销</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50,470,684.23</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50,470,684.23</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11,619,915.67</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11,619,915.67</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（1）计提或摊销</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11,325,973.87</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11,325,973.87</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C67D9A">
            <w:pPr>
              <w:spacing w:line="240" w:lineRule="exact"/>
              <w:ind w:firstLineChars="400" w:firstLine="720"/>
              <w:rPr>
                <w:rFonts w:ascii="宋体" w:eastAsia="宋体" w:hAnsi="宋体" w:cs="宋体"/>
                <w:sz w:val="18"/>
                <w:szCs w:val="18"/>
              </w:rPr>
            </w:pPr>
            <w:r>
              <w:rPr>
                <w:rFonts w:ascii="宋体" w:eastAsia="宋体" w:hAnsi="宋体" w:cs="宋体"/>
                <w:sz w:val="18"/>
                <w:szCs w:val="18"/>
              </w:rPr>
              <w:t>（2）固定资产转入</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C67D9A">
            <w:pPr>
              <w:spacing w:line="240" w:lineRule="exact"/>
              <w:ind w:firstLineChars="400" w:firstLine="720"/>
              <w:rPr>
                <w:rFonts w:ascii="宋体" w:eastAsia="宋体" w:hAnsi="宋体" w:cs="宋体"/>
                <w:sz w:val="18"/>
                <w:szCs w:val="18"/>
              </w:rPr>
            </w:pPr>
            <w:r>
              <w:rPr>
                <w:rFonts w:ascii="宋体" w:eastAsia="宋体" w:hAnsi="宋体" w:cs="宋体"/>
                <w:sz w:val="18"/>
                <w:szCs w:val="18"/>
              </w:rPr>
              <w:t>（3）转自用房地产</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441,701.70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61,648,898.20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61,648,898.20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三、减值准备</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122,285,481.10</w:t>
            </w:r>
          </w:p>
        </w:tc>
      </w:tr>
      <w:tr w:rsidR="00037019" w:rsidTr="00C67D9A">
        <w:trPr>
          <w:cantSplit/>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56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32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2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r w:rsidR="000B4C2A">
        <w:rPr>
          <w:rFonts w:ascii="宋体" w:eastAsia="宋体" w:hAnsi="宋体" w:cs="宋体" w:hint="eastAsia"/>
          <w:sz w:val="18"/>
          <w:szCs w:val="18"/>
        </w:rPr>
        <w:t>：</w:t>
      </w:r>
      <w:r>
        <w:rPr>
          <w:rFonts w:hint="eastAsia"/>
          <w:sz w:val="18"/>
          <w:szCs w:val="18"/>
        </w:rPr>
        <w:t>无。</w:t>
      </w:r>
    </w:p>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r w:rsidR="000B4C2A">
        <w:rPr>
          <w:rFonts w:ascii="宋体" w:eastAsia="宋体" w:hAnsi="宋体" w:cs="宋体" w:hint="eastAsia"/>
          <w:sz w:val="18"/>
          <w:szCs w:val="18"/>
        </w:rPr>
        <w:t>：</w:t>
      </w:r>
      <w:r>
        <w:rPr>
          <w:rFonts w:hint="eastAsia"/>
          <w:sz w:val="18"/>
          <w:szCs w:val="18"/>
        </w:rPr>
        <w:t>无。</w:t>
      </w:r>
    </w:p>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229" w:name="_Toc989155"/>
      <w:r>
        <w:rPr>
          <w:rFonts w:ascii="宋体" w:eastAsia="宋体" w:hAnsi="宋体" w:cs="宋体"/>
          <w:b/>
          <w:bCs/>
          <w:sz w:val="18"/>
          <w:szCs w:val="18"/>
        </w:rPr>
        <w:t>（2） 采用公允价值计量模式的投资性房地产</w:t>
      </w:r>
      <w:bookmarkEnd w:id="229"/>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230" w:name="_Toc989156"/>
      <w:r>
        <w:rPr>
          <w:rFonts w:ascii="宋体" w:eastAsia="宋体" w:hAnsi="宋体" w:cs="宋体"/>
          <w:b/>
          <w:bCs/>
          <w:sz w:val="18"/>
          <w:szCs w:val="18"/>
        </w:rPr>
        <w:t>（3） 转换为投资性房地产并采用公允价值计量</w:t>
      </w:r>
      <w:bookmarkEnd w:id="230"/>
    </w:p>
    <w:p w:rsidR="000B4C2A" w:rsidRDefault="000B4C2A">
      <w:pPr>
        <w:keepNext/>
        <w:keepLines/>
        <w:spacing w:before="300" w:after="300" w:line="280" w:lineRule="exact"/>
        <w:outlineLvl w:val="3"/>
        <w:rPr>
          <w:rFonts w:ascii="宋体" w:eastAsia="宋体" w:hAnsi="宋体" w:cs="宋体"/>
          <w:sz w:val="18"/>
          <w:szCs w:val="18"/>
        </w:rPr>
      </w:pPr>
      <w:bookmarkStart w:id="231" w:name="_Toc989157"/>
      <w:r>
        <w:rPr>
          <w:rFonts w:ascii="宋体" w:eastAsia="宋体" w:hAnsi="宋体" w:cs="宋体" w:hint="eastAsia"/>
          <w:sz w:val="18"/>
          <w:szCs w:val="18"/>
        </w:rPr>
        <w:t>无</w:t>
      </w:r>
    </w:p>
    <w:p w:rsidR="00037019" w:rsidRDefault="000B4C2A">
      <w:pPr>
        <w:keepNext/>
        <w:keepLines/>
        <w:spacing w:before="300" w:after="300" w:line="280" w:lineRule="exact"/>
        <w:outlineLvl w:val="3"/>
        <w:rPr>
          <w:rFonts w:ascii="宋体" w:eastAsia="宋体" w:hAnsi="宋体" w:cs="宋体"/>
          <w:b/>
          <w:bCs/>
          <w:sz w:val="18"/>
          <w:szCs w:val="18"/>
        </w:rPr>
      </w:pPr>
      <w:r>
        <w:rPr>
          <w:rFonts w:ascii="宋体" w:eastAsia="宋体" w:hAnsi="宋体" w:cs="宋体"/>
          <w:b/>
          <w:bCs/>
          <w:sz w:val="18"/>
          <w:szCs w:val="18"/>
        </w:rPr>
        <w:t>（4） 未办妥产权证书的投资性房地产情况</w:t>
      </w:r>
      <w:bookmarkEnd w:id="231"/>
    </w:p>
    <w:p w:rsidR="00BE788E" w:rsidRDefault="00BE788E">
      <w:pPr>
        <w:pStyle w:val="a3"/>
        <w:divId w:val="25967749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32" w:name="_Toc989158"/>
      <w:r>
        <w:rPr>
          <w:rFonts w:ascii="宋体" w:hAnsi="宋体" w:cs="宋体"/>
          <w:b/>
          <w:bCs/>
        </w:rPr>
        <w:t>21、固定资产</w:t>
      </w:r>
      <w:bookmarkEnd w:id="23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4,584,512,834.56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4,675,330,489.40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397,159.41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505,206.74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4,584,909,993.97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4,675,835,696.14</w:t>
            </w:r>
          </w:p>
        </w:tc>
      </w:tr>
    </w:tbl>
    <w:p w:rsidR="00037019" w:rsidRDefault="00BE788E">
      <w:pPr>
        <w:keepNext/>
        <w:keepLines/>
        <w:spacing w:before="300" w:after="300" w:line="280" w:lineRule="exact"/>
        <w:outlineLvl w:val="3"/>
        <w:rPr>
          <w:rFonts w:ascii="宋体" w:eastAsia="宋体" w:hAnsi="宋体" w:cs="宋体"/>
          <w:b/>
          <w:bCs/>
          <w:szCs w:val="21"/>
        </w:rPr>
      </w:pPr>
      <w:bookmarkStart w:id="233" w:name="_Toc989159"/>
      <w:r>
        <w:rPr>
          <w:rFonts w:ascii="宋体" w:eastAsia="宋体" w:hAnsi="宋体" w:cs="宋体"/>
          <w:b/>
          <w:bCs/>
          <w:szCs w:val="21"/>
        </w:rPr>
        <w:t>（1） 固定资产情况</w:t>
      </w:r>
      <w:bookmarkEnd w:id="23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运输工具</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电子及其他设备</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3,404,881,727.25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5,004,502,756.96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54,135,296.47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208,470,648.28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8,671,990,428.96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-6,099,518.26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6,288,877.45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1,407,687.71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189,689,068.95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191,286,115.85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3,932,658.15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25,426,209.75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1,655,885.03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189,822,770.70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220,837,523.63</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3,796,539.73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5,304,153.65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9,100,693.38</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（4）投资性房地产转入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1,928,003.79</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（5）外币折算差额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-15,756,719.93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-24,441,485.95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-248,197.32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-133,701.75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-40,580,104.95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16,020,223.42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66,268,096.94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712,610.56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2,879,341.18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85,880,272.10</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13,443,045.86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66,268,096.94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712,610.56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2,879,341.18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83,303,094.54</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2,577,177.56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3,382,761,985.57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4,944,523,537.47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54,830,373.62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395,280,376.05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8,777,396,272.71</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1,078,953,226.88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2,636,151,263.47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41,579,191.34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203,284,511.43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3,959,968,193.12</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55,972,057.29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188,477,990.31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1,234,484.58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9,453,444.54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255,137,976.72</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61,828,016.52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179,450,887.66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1,420,879.64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9,577,176.99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252,276,960.81</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（2)外币折算差异</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-5,855,959.23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9,027,102.65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-186,395.06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-123,732.45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2,861,015.91</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6,208,335.05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47,395,366.44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646,700.49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2,337,707.80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56,588,109.78</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5,914,393.25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47,395,366.44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646,700.49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2,337,707.80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56,294,167.98</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293,941.80</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1,128,716,949.12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2,777,233,887.34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42,166,975.43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210,400,248.17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4,158,518,060.06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8,627,892.74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36,691,746.44</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2,252,220.82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74,147.53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2,326,368.35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2,252,220.82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74,147.53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2,326,368.35</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6,375,671.92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95,345.98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34,365,378.09</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2,226,189,245.86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2,160,913,978.21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12,624,828.59</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184,784,781.90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4,584,512,834.56</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2,298,072,709.78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2,359,723,600.75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12,517,535.53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5,016,643.34</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4,675,330,489.40</w:t>
            </w:r>
          </w:p>
        </w:tc>
      </w:tr>
    </w:tbl>
    <w:p w:rsidR="00037019" w:rsidRDefault="00BE788E">
      <w:pPr>
        <w:keepNext/>
        <w:keepLines/>
        <w:spacing w:before="300" w:after="300" w:line="280" w:lineRule="exact"/>
        <w:outlineLvl w:val="3"/>
        <w:rPr>
          <w:rFonts w:ascii="宋体" w:eastAsia="宋体" w:hAnsi="宋体" w:cs="宋体"/>
          <w:b/>
          <w:bCs/>
          <w:szCs w:val="21"/>
        </w:rPr>
      </w:pPr>
      <w:bookmarkStart w:id="234" w:name="_Toc989160"/>
      <w:r>
        <w:rPr>
          <w:rFonts w:ascii="宋体" w:eastAsia="宋体" w:hAnsi="宋体" w:cs="宋体"/>
          <w:b/>
          <w:bCs/>
          <w:szCs w:val="21"/>
        </w:rPr>
        <w:t>（2） 暂时闲置的固定资产情况</w:t>
      </w:r>
      <w:bookmarkEnd w:id="23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161,106,351.18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75,123,131.24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10,396,005.23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75,587,214.71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111,445,480.85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93,642,585.06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1,184,147.51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16,618,748.28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4,674,661.69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4,042,682.74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631,978.95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11,285,126.25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10,115,014.97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1,836.51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1,168,274.77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0B4C2A">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288,511,619.97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182,923,414.01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11,581,989.25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94,006,216.71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235" w:name="_Toc989161"/>
      <w:r>
        <w:rPr>
          <w:rFonts w:ascii="宋体" w:eastAsia="宋体" w:hAnsi="宋体" w:cs="宋体"/>
          <w:b/>
          <w:bCs/>
          <w:szCs w:val="21"/>
        </w:rPr>
        <w:t>（3） 通过经营租赁租出的固定资产</w:t>
      </w:r>
      <w:bookmarkEnd w:id="235"/>
    </w:p>
    <w:p w:rsidR="000B4C2A" w:rsidRDefault="000B4C2A">
      <w:pPr>
        <w:keepNext/>
        <w:keepLines/>
        <w:spacing w:before="300" w:after="300" w:line="280" w:lineRule="exact"/>
        <w:outlineLvl w:val="3"/>
        <w:rPr>
          <w:rFonts w:ascii="宋体" w:eastAsia="宋体" w:hAnsi="宋体" w:cs="宋体"/>
          <w:sz w:val="18"/>
          <w:szCs w:val="18"/>
        </w:rPr>
      </w:pPr>
      <w:bookmarkStart w:id="236" w:name="_Toc989162"/>
      <w:r>
        <w:rPr>
          <w:rFonts w:ascii="宋体" w:eastAsia="宋体" w:hAnsi="宋体" w:cs="宋体" w:hint="eastAsia"/>
          <w:sz w:val="18"/>
          <w:szCs w:val="18"/>
        </w:rPr>
        <w:t>无</w:t>
      </w:r>
    </w:p>
    <w:p w:rsidR="00037019" w:rsidRDefault="000B4C2A">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（4） 未办妥产权证书的固定资产情况</w:t>
      </w:r>
      <w:bookmarkEnd w:id="23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94,938,199.16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0B4C2A">
            <w:pPr>
              <w:spacing w:line="240" w:lineRule="exact"/>
              <w:jc w:val="right"/>
              <w:rPr>
                <w:rFonts w:ascii="宋体" w:eastAsia="宋体" w:hAnsi="宋体" w:cs="宋体"/>
                <w:sz w:val="18"/>
                <w:szCs w:val="18"/>
              </w:rPr>
            </w:pPr>
            <w:r>
              <w:rPr>
                <w:rFonts w:ascii="宋体" w:eastAsia="宋体" w:hAnsi="宋体" w:cs="宋体"/>
                <w:sz w:val="18"/>
                <w:szCs w:val="18"/>
              </w:rPr>
              <w:t> 尚在办理中</w:t>
            </w:r>
          </w:p>
        </w:tc>
      </w:tr>
    </w:tbl>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0B4C2A">
        <w:rPr>
          <w:rFonts w:ascii="宋体" w:eastAsia="宋体" w:hAnsi="宋体" w:cs="宋体" w:hint="eastAsia"/>
          <w:sz w:val="18"/>
          <w:szCs w:val="18"/>
        </w:rPr>
        <w:t>：</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37" w:name="_Toc989163"/>
      <w:r>
        <w:rPr>
          <w:rFonts w:ascii="宋体" w:eastAsia="宋体" w:hAnsi="宋体" w:cs="宋体"/>
          <w:b/>
          <w:bCs/>
          <w:szCs w:val="21"/>
        </w:rPr>
        <w:t>（5） 固定资产的减值测试情况</w:t>
      </w:r>
      <w:bookmarkEnd w:id="23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238" w:name="_Toc989164"/>
      <w:r>
        <w:rPr>
          <w:rFonts w:ascii="宋体" w:eastAsia="宋体" w:hAnsi="宋体" w:cs="宋体"/>
          <w:b/>
          <w:bCs/>
          <w:szCs w:val="21"/>
        </w:rPr>
        <w:t>（6） 固定资产清理</w:t>
      </w:r>
      <w:bookmarkEnd w:id="23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0B4C2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0B4C2A">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397,159.41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505,206.74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397,159.41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505,206.74</w:t>
            </w:r>
          </w:p>
        </w:tc>
      </w:tr>
    </w:tbl>
    <w:p w:rsidR="00BE788E" w:rsidRPr="000B4C2A" w:rsidRDefault="00BE788E" w:rsidP="000B4C2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39" w:name="_Toc989165"/>
      <w:r>
        <w:rPr>
          <w:rFonts w:ascii="宋体" w:hAnsi="宋体" w:cs="宋体"/>
          <w:b/>
          <w:bCs/>
        </w:rPr>
        <w:t>22、在建工程</w:t>
      </w:r>
      <w:bookmarkEnd w:id="23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bl>
    <w:p w:rsidR="00037019" w:rsidRDefault="00BE788E">
      <w:pPr>
        <w:keepNext/>
        <w:keepLines/>
        <w:spacing w:before="300" w:after="300" w:line="280" w:lineRule="exact"/>
        <w:outlineLvl w:val="3"/>
        <w:rPr>
          <w:rFonts w:ascii="宋体" w:eastAsia="宋体" w:hAnsi="宋体" w:cs="宋体"/>
          <w:b/>
          <w:bCs/>
          <w:szCs w:val="21"/>
        </w:rPr>
      </w:pPr>
      <w:bookmarkStart w:id="240" w:name="_Toc989166"/>
      <w:r>
        <w:rPr>
          <w:rFonts w:ascii="宋体" w:eastAsia="宋体" w:hAnsi="宋体" w:cs="宋体"/>
          <w:b/>
          <w:bCs/>
          <w:szCs w:val="21"/>
        </w:rPr>
        <w:lastRenderedPageBreak/>
        <w:t>（1） 在建工程情况</w:t>
      </w:r>
      <w:bookmarkEnd w:id="24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浙江色纺二期项目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1,109,577.56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1,109,577.56</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500,273.98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500,273.98</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6,707,529.88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6,707,529.88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6,157,463.51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6,157,463.51</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8,202,836.45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8,202,836.45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9,400,926.15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9,400,926.15</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标信在建</w:t>
            </w:r>
            <w:proofErr w:type="gramEnd"/>
            <w:r>
              <w:rPr>
                <w:rFonts w:ascii="宋体" w:eastAsia="宋体" w:hAnsi="宋体" w:cs="宋体"/>
                <w:sz w:val="18"/>
                <w:szCs w:val="18"/>
              </w:rPr>
              <w:t>工程</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7,166,091.81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7,166,091.81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1,708,115.28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1,708,115.28</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4,912,334.75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4,912,334.75</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2,176,237.12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2,176,237.12</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229,178,525.73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229,178,525.73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225,741,886.91</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阿大数字</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95,068,242.67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95,068,242.67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87,636,583.39</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r>
      <w:tr w:rsidR="00037019" w:rsidTr="000B4C2A">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上虞时尚总部物业</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753,175,787.42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475,059,478.07</w:t>
            </w:r>
          </w:p>
        </w:tc>
      </w:tr>
    </w:tbl>
    <w:p w:rsidR="00037019" w:rsidRDefault="00BE788E">
      <w:pPr>
        <w:keepNext/>
        <w:keepLines/>
        <w:spacing w:before="300" w:after="300" w:line="280" w:lineRule="exact"/>
        <w:outlineLvl w:val="3"/>
        <w:rPr>
          <w:rFonts w:ascii="宋体" w:eastAsia="宋体" w:hAnsi="宋体" w:cs="宋体"/>
          <w:b/>
          <w:bCs/>
          <w:szCs w:val="21"/>
        </w:rPr>
      </w:pPr>
      <w:bookmarkStart w:id="241" w:name="_Toc989167"/>
      <w:r>
        <w:rPr>
          <w:rFonts w:ascii="宋体" w:eastAsia="宋体" w:hAnsi="宋体" w:cs="宋体"/>
          <w:b/>
          <w:bCs/>
          <w:szCs w:val="21"/>
        </w:rPr>
        <w:t>（2） 重要在建工程项目本期变动情况</w:t>
      </w:r>
      <w:bookmarkEnd w:id="24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其中：本期利息资本</w:t>
            </w:r>
            <w:proofErr w:type="gramStart"/>
            <w:r>
              <w:rPr>
                <w:rFonts w:ascii="宋体" w:eastAsia="宋体" w:hAnsi="宋体" w:cs="宋体"/>
                <w:sz w:val="18"/>
                <w:szCs w:val="18"/>
              </w:rPr>
              <w:t>化金额</w:t>
            </w:r>
            <w:proofErr w:type="gramEnd"/>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资金来源</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356,730,000.00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3,436,638.82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229,178,525.73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88.37%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788,462,769.35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17,916,854.18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35,888,417.52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123,766,428.39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93.94%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募集资金</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134,620,750.88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7,431,659.28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95,068,242.67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85.00%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r>
      <w:tr w:rsidR="00037019" w:rsidTr="00AF3B62">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上虞时尚总部</w:t>
            </w:r>
            <w:r>
              <w:rPr>
                <w:rFonts w:ascii="宋体" w:eastAsia="宋体" w:hAnsi="宋体" w:cs="宋体"/>
                <w:sz w:val="18"/>
                <w:szCs w:val="18"/>
              </w:rPr>
              <w:lastRenderedPageBreak/>
              <w:t>物业</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302,000,000.00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277,064,220.18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91.74%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91.74%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1,581,813,520.23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455,116,462.03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305,849,372.46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35,888,417.52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725,077,416.97</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8,539,824.63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037019" w:rsidRDefault="00BE788E">
      <w:pPr>
        <w:keepNext/>
        <w:keepLines/>
        <w:spacing w:before="300" w:after="300" w:line="280" w:lineRule="exact"/>
        <w:outlineLvl w:val="3"/>
        <w:rPr>
          <w:rFonts w:ascii="宋体" w:eastAsia="宋体" w:hAnsi="宋体" w:cs="宋体"/>
          <w:b/>
          <w:bCs/>
          <w:szCs w:val="21"/>
        </w:rPr>
      </w:pPr>
      <w:bookmarkStart w:id="242" w:name="_Toc989168"/>
      <w:r>
        <w:rPr>
          <w:rFonts w:ascii="宋体" w:eastAsia="宋体" w:hAnsi="宋体" w:cs="宋体"/>
          <w:b/>
          <w:bCs/>
          <w:szCs w:val="21"/>
        </w:rPr>
        <w:t>（3） 本期计提在建工程减值准备情况</w:t>
      </w:r>
      <w:bookmarkEnd w:id="242"/>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F3B62">
        <w:rPr>
          <w:rFonts w:ascii="宋体" w:eastAsia="宋体" w:hAnsi="宋体" w:cs="宋体" w:hint="eastAsia"/>
          <w:sz w:val="18"/>
          <w:szCs w:val="18"/>
        </w:rPr>
        <w:t>：</w:t>
      </w:r>
      <w:r>
        <w:rPr>
          <w:rFonts w:hint="eastAsia"/>
          <w:sz w:val="18"/>
          <w:szCs w:val="18"/>
        </w:rPr>
        <w:t>公司认为期末在建工程未出现可收回金额低于账面价值的情形，故未计提减值准备。</w:t>
      </w:r>
    </w:p>
    <w:p w:rsidR="00037019" w:rsidRDefault="00BE788E">
      <w:pPr>
        <w:keepNext/>
        <w:keepLines/>
        <w:spacing w:before="300" w:after="300" w:line="280" w:lineRule="exact"/>
        <w:outlineLvl w:val="3"/>
        <w:rPr>
          <w:rFonts w:ascii="宋体" w:eastAsia="宋体" w:hAnsi="宋体" w:cs="宋体"/>
          <w:b/>
          <w:bCs/>
          <w:szCs w:val="21"/>
        </w:rPr>
      </w:pPr>
      <w:bookmarkStart w:id="243" w:name="_Toc989169"/>
      <w:r>
        <w:rPr>
          <w:rFonts w:ascii="宋体" w:eastAsia="宋体" w:hAnsi="宋体" w:cs="宋体"/>
          <w:b/>
          <w:bCs/>
          <w:szCs w:val="21"/>
        </w:rPr>
        <w:t>（4） 在建工程的减值测试情况</w:t>
      </w:r>
      <w:bookmarkEnd w:id="24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244" w:name="_Toc989170"/>
      <w:r>
        <w:rPr>
          <w:rFonts w:ascii="宋体" w:eastAsia="宋体" w:hAnsi="宋体" w:cs="宋体"/>
          <w:b/>
          <w:bCs/>
          <w:szCs w:val="21"/>
        </w:rPr>
        <w:t>（5） 工程物资</w:t>
      </w:r>
      <w:bookmarkEnd w:id="244"/>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45" w:name="_Toc989171"/>
      <w:r>
        <w:rPr>
          <w:rFonts w:ascii="宋体" w:hAnsi="宋体" w:cs="宋体"/>
          <w:b/>
          <w:bCs/>
        </w:rPr>
        <w:t>23、生产性生物资产</w:t>
      </w:r>
      <w:bookmarkEnd w:id="245"/>
    </w:p>
    <w:p w:rsidR="00037019" w:rsidRDefault="00BE788E">
      <w:pPr>
        <w:keepNext/>
        <w:keepLines/>
        <w:spacing w:before="300" w:after="300" w:line="280" w:lineRule="exact"/>
        <w:outlineLvl w:val="3"/>
        <w:rPr>
          <w:rFonts w:ascii="宋体" w:eastAsia="宋体" w:hAnsi="宋体" w:cs="宋体"/>
          <w:b/>
          <w:bCs/>
          <w:szCs w:val="21"/>
        </w:rPr>
      </w:pPr>
      <w:bookmarkStart w:id="246" w:name="_Toc989172"/>
      <w:r>
        <w:rPr>
          <w:rFonts w:ascii="宋体" w:eastAsia="宋体" w:hAnsi="宋体" w:cs="宋体"/>
          <w:b/>
          <w:bCs/>
          <w:szCs w:val="21"/>
        </w:rPr>
        <w:t>（1） 采用成本计量模式的生产性生物资产</w:t>
      </w:r>
      <w:bookmarkEnd w:id="24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247" w:name="_Toc989173"/>
      <w:r>
        <w:rPr>
          <w:rFonts w:ascii="宋体" w:eastAsia="宋体" w:hAnsi="宋体" w:cs="宋体"/>
          <w:b/>
          <w:bCs/>
          <w:szCs w:val="21"/>
        </w:rPr>
        <w:t>（2） 采用成本计量模式的生产性生物资产的减值测试情况</w:t>
      </w:r>
      <w:bookmarkEnd w:id="24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248" w:name="_Toc989174"/>
      <w:r>
        <w:rPr>
          <w:rFonts w:ascii="宋体" w:eastAsia="宋体" w:hAnsi="宋体" w:cs="宋体"/>
          <w:b/>
          <w:bCs/>
          <w:szCs w:val="21"/>
        </w:rPr>
        <w:t>（3） 采用公允价值计量模式的生产性生物资产</w:t>
      </w:r>
      <w:bookmarkEnd w:id="248"/>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49" w:name="_Toc989175"/>
      <w:r>
        <w:rPr>
          <w:rFonts w:ascii="宋体" w:hAnsi="宋体" w:cs="宋体"/>
          <w:b/>
          <w:bCs/>
        </w:rPr>
        <w:t>24、油气资产</w:t>
      </w:r>
      <w:bookmarkEnd w:id="24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50" w:name="_Toc989176"/>
      <w:r>
        <w:rPr>
          <w:rFonts w:ascii="宋体" w:hAnsi="宋体" w:cs="宋体"/>
          <w:b/>
          <w:bCs/>
        </w:rPr>
        <w:t>25、使用权资产</w:t>
      </w:r>
      <w:bookmarkEnd w:id="250"/>
    </w:p>
    <w:p w:rsidR="00037019" w:rsidRDefault="00BE788E">
      <w:pPr>
        <w:keepNext/>
        <w:keepLines/>
        <w:spacing w:before="300" w:after="300" w:line="280" w:lineRule="exact"/>
        <w:outlineLvl w:val="3"/>
        <w:rPr>
          <w:rFonts w:ascii="宋体" w:eastAsia="宋体" w:hAnsi="宋体" w:cs="宋体"/>
          <w:b/>
          <w:bCs/>
          <w:szCs w:val="21"/>
        </w:rPr>
      </w:pPr>
      <w:bookmarkStart w:id="251" w:name="_Toc989177"/>
      <w:r>
        <w:rPr>
          <w:rFonts w:ascii="宋体" w:eastAsia="宋体" w:hAnsi="宋体" w:cs="宋体"/>
          <w:b/>
          <w:bCs/>
          <w:szCs w:val="21"/>
        </w:rPr>
        <w:t>（1） 使用权资产情况</w:t>
      </w:r>
      <w:bookmarkEnd w:id="25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43,803,123.35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44,518,481.43</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43,803,123.35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44,518,481.43</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17,034,000.92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240,681.24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17,274,682.16</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21,444,342.82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240,681.24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21,685,024.06</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22,358,780.53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474,676.84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22,833,457.37</w:t>
            </w:r>
          </w:p>
        </w:tc>
      </w:tr>
      <w:tr w:rsidR="00037019" w:rsidTr="00AF3B62">
        <w:trPr>
          <w:trHeight w:val="240"/>
        </w:trPr>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26,769,122.43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474,676.84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bl>
    <w:p w:rsidR="00037019" w:rsidRDefault="00BE788E">
      <w:pPr>
        <w:keepNext/>
        <w:keepLines/>
        <w:spacing w:before="300" w:after="300" w:line="280" w:lineRule="exact"/>
        <w:outlineLvl w:val="3"/>
        <w:rPr>
          <w:rFonts w:ascii="宋体" w:eastAsia="宋体" w:hAnsi="宋体" w:cs="宋体"/>
          <w:b/>
          <w:bCs/>
          <w:szCs w:val="21"/>
        </w:rPr>
      </w:pPr>
      <w:bookmarkStart w:id="252" w:name="_Toc989178"/>
      <w:r>
        <w:rPr>
          <w:rFonts w:ascii="宋体" w:eastAsia="宋体" w:hAnsi="宋体" w:cs="宋体"/>
          <w:b/>
          <w:bCs/>
          <w:szCs w:val="21"/>
        </w:rPr>
        <w:t>（2） 使用权资产的减值测试情况</w:t>
      </w:r>
      <w:bookmarkEnd w:id="25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53" w:name="_Toc989179"/>
      <w:r>
        <w:rPr>
          <w:rFonts w:ascii="宋体" w:hAnsi="宋体" w:cs="宋体"/>
          <w:b/>
          <w:bCs/>
        </w:rPr>
        <w:t>26、无形资产</w:t>
      </w:r>
      <w:bookmarkEnd w:id="253"/>
    </w:p>
    <w:p w:rsidR="00037019" w:rsidRDefault="00BE788E">
      <w:pPr>
        <w:keepNext/>
        <w:keepLines/>
        <w:spacing w:before="300" w:after="300" w:line="280" w:lineRule="exact"/>
        <w:outlineLvl w:val="3"/>
        <w:rPr>
          <w:rFonts w:ascii="宋体" w:eastAsia="宋体" w:hAnsi="宋体" w:cs="宋体"/>
          <w:b/>
          <w:bCs/>
          <w:szCs w:val="21"/>
        </w:rPr>
      </w:pPr>
      <w:bookmarkStart w:id="254" w:name="_Toc989180"/>
      <w:r>
        <w:rPr>
          <w:rFonts w:ascii="宋体" w:eastAsia="宋体" w:hAnsi="宋体" w:cs="宋体"/>
          <w:b/>
          <w:bCs/>
          <w:szCs w:val="21"/>
        </w:rPr>
        <w:t>（1） 无形资产情况</w:t>
      </w:r>
      <w:bookmarkEnd w:id="25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74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943"/>
        <w:gridCol w:w="1701"/>
        <w:gridCol w:w="1701"/>
        <w:gridCol w:w="1701"/>
        <w:gridCol w:w="1701"/>
      </w:tblGrid>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专利权</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非专利技术</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1,032,894,933.14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30,443,903.20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9,065,464.49</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1,072,404,300.83</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20,170,667.87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458,432.10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42,943.16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20,672,043.13</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（1）购置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23,644,282.00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458,432.10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42,943.16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24,145,657.26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（2）内部研发</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（3）企业合并增加</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line="240" w:lineRule="exact"/>
              <w:ind w:firstLineChars="200" w:firstLine="360"/>
              <w:rPr>
                <w:rFonts w:ascii="宋体" w:eastAsia="宋体" w:hAnsi="宋体" w:cs="宋体"/>
                <w:sz w:val="18"/>
                <w:szCs w:val="18"/>
              </w:rPr>
            </w:pPr>
            <w:r>
              <w:rPr>
                <w:rFonts w:ascii="宋体" w:eastAsia="宋体" w:hAnsi="宋体" w:cs="宋体"/>
                <w:sz w:val="18"/>
                <w:szCs w:val="18"/>
              </w:rPr>
              <w:t>（4）外币报表折算差异</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-3,473,614.13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-3,473,614.13</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26,180,330.95</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1,346,976.32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27,614,014.54</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（1）处置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26,180,330.95</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1,346,976.32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27,614,014.54</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1,026,885,270.06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30,815,628.03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7,761,431.33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1,065,462,329.42</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二、累计摊销</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192,710,749.02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24,141,287.22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6,900,731.46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223,752,767.70</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9,756,070.26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801,202.14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761,750.74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11,319,023.14</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9,734,489.64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801,202.14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748,629.28</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11,284,321.06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rPr>
                <w:rFonts w:ascii="宋体" w:eastAsia="宋体" w:hAnsi="宋体" w:cs="宋体"/>
                <w:sz w:val="18"/>
                <w:szCs w:val="18"/>
              </w:rPr>
            </w:pPr>
            <w:r>
              <w:rPr>
                <w:rFonts w:ascii="宋体" w:eastAsia="宋体" w:hAnsi="宋体" w:cs="宋体"/>
                <w:sz w:val="18"/>
                <w:szCs w:val="18"/>
              </w:rPr>
              <w:t>（4）外币报表折算差异</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21,580.62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13,121.46</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34,702.08</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lastRenderedPageBreak/>
              <w:t>3.本期减少金额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2,555,171.01</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1,314,768.90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3,956,647.18</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（1）处置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2,555,171.01</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86,707.27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1,314,768.90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3,956,647.18</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199,911,648.27</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24,855,782.09</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6,347,713.30</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231,115,143.66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（1）计提</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rsidP="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（1）处置</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826,973,621.79</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5,959,845.94</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1,413,718.03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834,347,185.76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840,184,184.12</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6,302,615.98</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2,164,733.03</w:t>
            </w:r>
          </w:p>
        </w:tc>
        <w:tc>
          <w:tcPr>
            <w:tcW w:w="1701"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本期末通过公司内部研发形成的无形资产占无形资产余额的比例0.00%</w:t>
      </w:r>
    </w:p>
    <w:p w:rsidR="00037019" w:rsidRDefault="00BE788E">
      <w:pPr>
        <w:keepNext/>
        <w:keepLines/>
        <w:spacing w:before="300" w:after="300" w:line="280" w:lineRule="exact"/>
        <w:outlineLvl w:val="3"/>
        <w:rPr>
          <w:rFonts w:ascii="宋体" w:eastAsia="宋体" w:hAnsi="宋体" w:cs="宋体"/>
          <w:b/>
          <w:bCs/>
          <w:szCs w:val="21"/>
        </w:rPr>
      </w:pPr>
      <w:bookmarkStart w:id="255" w:name="_Toc989181"/>
      <w:r>
        <w:rPr>
          <w:rFonts w:ascii="宋体" w:eastAsia="宋体" w:hAnsi="宋体" w:cs="宋体"/>
          <w:b/>
          <w:bCs/>
          <w:szCs w:val="21"/>
        </w:rPr>
        <w:t>（2） 确认为无形资产的数据资源</w:t>
      </w:r>
      <w:bookmarkEnd w:id="255"/>
    </w:p>
    <w:p w:rsidR="00BE788E" w:rsidRDefault="00BE788E">
      <w:pPr>
        <w:pStyle w:val="a3"/>
        <w:divId w:val="1411581143"/>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56" w:name="_Toc989182"/>
      <w:r>
        <w:rPr>
          <w:rFonts w:ascii="宋体" w:eastAsia="宋体" w:hAnsi="宋体" w:cs="宋体"/>
          <w:b/>
          <w:bCs/>
          <w:szCs w:val="21"/>
        </w:rPr>
        <w:t>（3） 未办妥产权证书的土地使用权情况</w:t>
      </w:r>
      <w:bookmarkEnd w:id="25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19,867,768.56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rsidP="00AF3B62">
            <w:pPr>
              <w:spacing w:line="240" w:lineRule="exact"/>
              <w:jc w:val="right"/>
              <w:rPr>
                <w:rFonts w:ascii="宋体" w:eastAsia="宋体" w:hAnsi="宋体" w:cs="宋体"/>
                <w:sz w:val="18"/>
                <w:szCs w:val="18"/>
              </w:rPr>
            </w:pPr>
            <w:r>
              <w:rPr>
                <w:rFonts w:ascii="宋体" w:eastAsia="宋体" w:hAnsi="宋体" w:cs="宋体"/>
                <w:sz w:val="18"/>
                <w:szCs w:val="18"/>
              </w:rPr>
              <w:t xml:space="preserve"> 尚在办理中</w:t>
            </w:r>
          </w:p>
        </w:tc>
      </w:tr>
    </w:tbl>
    <w:p w:rsidR="00037019" w:rsidRDefault="00BE788E">
      <w:pPr>
        <w:keepNext/>
        <w:keepLines/>
        <w:spacing w:before="300" w:after="300" w:line="280" w:lineRule="exact"/>
        <w:outlineLvl w:val="3"/>
        <w:rPr>
          <w:rFonts w:ascii="宋体" w:eastAsia="宋体" w:hAnsi="宋体" w:cs="宋体"/>
          <w:b/>
          <w:bCs/>
          <w:szCs w:val="21"/>
        </w:rPr>
      </w:pPr>
      <w:bookmarkStart w:id="257" w:name="_Toc989183"/>
      <w:r>
        <w:rPr>
          <w:rFonts w:ascii="宋体" w:eastAsia="宋体" w:hAnsi="宋体" w:cs="宋体"/>
          <w:b/>
          <w:bCs/>
          <w:szCs w:val="21"/>
        </w:rPr>
        <w:t>（4） 无形资产的减值测试情况</w:t>
      </w:r>
      <w:bookmarkEnd w:id="25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258" w:name="_Toc989184"/>
      <w:r>
        <w:rPr>
          <w:rFonts w:ascii="宋体" w:hAnsi="宋体" w:cs="宋体"/>
          <w:b/>
          <w:bCs/>
        </w:rPr>
        <w:t>27、商誉</w:t>
      </w:r>
      <w:bookmarkEnd w:id="258"/>
    </w:p>
    <w:p w:rsidR="00037019" w:rsidRDefault="00BE788E">
      <w:pPr>
        <w:keepNext/>
        <w:keepLines/>
        <w:spacing w:before="300" w:after="300" w:line="280" w:lineRule="exact"/>
        <w:outlineLvl w:val="3"/>
        <w:rPr>
          <w:rFonts w:ascii="宋体" w:eastAsia="宋体" w:hAnsi="宋体" w:cs="宋体"/>
          <w:b/>
          <w:bCs/>
          <w:szCs w:val="21"/>
        </w:rPr>
      </w:pPr>
      <w:bookmarkStart w:id="259" w:name="_Toc989185"/>
      <w:r>
        <w:rPr>
          <w:rFonts w:ascii="宋体" w:eastAsia="宋体" w:hAnsi="宋体" w:cs="宋体"/>
          <w:b/>
          <w:bCs/>
          <w:szCs w:val="21"/>
        </w:rPr>
        <w:t>（1） 商誉账面原值</w:t>
      </w:r>
      <w:bookmarkEnd w:id="25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943"/>
        <w:gridCol w:w="1674"/>
        <w:gridCol w:w="1674"/>
        <w:gridCol w:w="1674"/>
        <w:gridCol w:w="1674"/>
      </w:tblGrid>
      <w:tr w:rsidR="00037019" w:rsidTr="00AF3B62">
        <w:trPr>
          <w:trHeight w:val="240"/>
        </w:trPr>
        <w:tc>
          <w:tcPr>
            <w:tcW w:w="294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被投资单位名称或形成商誉的事项</w:t>
            </w:r>
          </w:p>
        </w:tc>
        <w:tc>
          <w:tcPr>
            <w:tcW w:w="167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7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AF3B62" w:rsidTr="00AF3B62">
        <w:trPr>
          <w:trHeight w:val="240"/>
        </w:trPr>
        <w:tc>
          <w:tcPr>
            <w:tcW w:w="294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tc>
        <w:tc>
          <w:tcPr>
            <w:tcW w:w="167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jc w:val="center"/>
              <w:rPr>
                <w:rFonts w:ascii="宋体" w:eastAsia="宋体" w:hAnsi="宋体" w:cs="宋体"/>
                <w:sz w:val="18"/>
                <w:szCs w:val="18"/>
              </w:rPr>
            </w:pPr>
            <w:r>
              <w:rPr>
                <w:rFonts w:ascii="宋体" w:eastAsia="宋体" w:hAnsi="宋体" w:cs="宋体"/>
                <w:sz w:val="18"/>
                <w:szCs w:val="18"/>
              </w:rPr>
              <w:t>企业合并形成的</w:t>
            </w:r>
          </w:p>
        </w:tc>
        <w:tc>
          <w:tcPr>
            <w:tcW w:w="1674"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jc w:val="center"/>
              <w:rPr>
                <w:rFonts w:ascii="宋体" w:eastAsia="宋体" w:hAnsi="宋体" w:cs="宋体"/>
                <w:sz w:val="18"/>
                <w:szCs w:val="18"/>
              </w:rPr>
            </w:pPr>
            <w:r>
              <w:rPr>
                <w:rFonts w:ascii="宋体" w:eastAsia="宋体" w:hAnsi="宋体" w:cs="宋体"/>
                <w:sz w:val="18"/>
                <w:szCs w:val="18"/>
              </w:rPr>
              <w:t>处置</w:t>
            </w:r>
          </w:p>
        </w:tc>
        <w:tc>
          <w:tcPr>
            <w:tcW w:w="167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3,861,366.21</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3,861,366.21</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line="240" w:lineRule="exact"/>
              <w:rPr>
                <w:rFonts w:ascii="宋体" w:eastAsia="宋体" w:hAnsi="宋体" w:cs="宋体"/>
                <w:sz w:val="18"/>
                <w:szCs w:val="18"/>
              </w:rPr>
            </w:pPr>
            <w:r>
              <w:rPr>
                <w:rFonts w:ascii="宋体" w:eastAsia="宋体" w:hAnsi="宋体" w:cs="宋体"/>
                <w:sz w:val="18"/>
                <w:szCs w:val="18"/>
              </w:rPr>
              <w:t>浙江阿大互联科技有限公司</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147,900,475.26</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147,900,475.26</w:t>
            </w:r>
          </w:p>
        </w:tc>
      </w:tr>
      <w:tr w:rsidR="00AF3B62" w:rsidTr="00AF3B62">
        <w:trPr>
          <w:trHeight w:val="240"/>
        </w:trPr>
        <w:tc>
          <w:tcPr>
            <w:tcW w:w="2943" w:type="dxa"/>
            <w:tcBorders>
              <w:top w:val="single" w:sz="2" w:space="0" w:color="auto"/>
              <w:left w:val="single" w:sz="2" w:space="0" w:color="auto"/>
              <w:bottom w:val="single" w:sz="2" w:space="0" w:color="auto"/>
              <w:right w:val="single" w:sz="2" w:space="0" w:color="auto"/>
            </w:tcBorders>
            <w:shd w:val="clear" w:color="auto" w:fill="D3D3D3"/>
            <w:vAlign w:val="center"/>
          </w:tcPr>
          <w:p w:rsidR="00AF3B62" w:rsidRDefault="00AF3B62">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p>
        </w:tc>
        <w:tc>
          <w:tcPr>
            <w:tcW w:w="1674" w:type="dxa"/>
            <w:tcBorders>
              <w:top w:val="single" w:sz="2" w:space="0" w:color="auto"/>
              <w:left w:val="single" w:sz="2" w:space="0" w:color="auto"/>
              <w:bottom w:val="single" w:sz="2" w:space="0" w:color="auto"/>
              <w:right w:val="single" w:sz="2" w:space="0" w:color="auto"/>
            </w:tcBorders>
            <w:vAlign w:val="center"/>
          </w:tcPr>
          <w:p w:rsidR="00AF3B62" w:rsidRDefault="00AF3B62">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bl>
    <w:p w:rsidR="00037019" w:rsidRDefault="00BE788E">
      <w:pPr>
        <w:keepNext/>
        <w:keepLines/>
        <w:spacing w:before="300" w:after="300" w:line="280" w:lineRule="exact"/>
        <w:outlineLvl w:val="3"/>
        <w:rPr>
          <w:rFonts w:ascii="宋体" w:eastAsia="宋体" w:hAnsi="宋体" w:cs="宋体"/>
          <w:b/>
          <w:bCs/>
          <w:szCs w:val="21"/>
        </w:rPr>
      </w:pPr>
      <w:bookmarkStart w:id="260" w:name="_Toc989186"/>
      <w:r>
        <w:rPr>
          <w:rFonts w:ascii="宋体" w:eastAsia="宋体" w:hAnsi="宋体" w:cs="宋体"/>
          <w:b/>
          <w:bCs/>
          <w:szCs w:val="21"/>
        </w:rPr>
        <w:lastRenderedPageBreak/>
        <w:t>（2） 商誉减值准备</w:t>
      </w:r>
      <w:bookmarkEnd w:id="260"/>
    </w:p>
    <w:p w:rsidR="00AF3B62" w:rsidRDefault="00BE788E" w:rsidP="00AF3B62">
      <w:pPr>
        <w:keepNext/>
        <w:keepLines/>
        <w:spacing w:before="300" w:after="300" w:line="280" w:lineRule="exact"/>
        <w:outlineLvl w:val="3"/>
        <w:rPr>
          <w:rFonts w:ascii="宋体" w:eastAsia="宋体" w:hAnsi="宋体" w:cs="宋体"/>
          <w:b/>
          <w:bCs/>
          <w:szCs w:val="21"/>
        </w:rPr>
      </w:pPr>
      <w:bookmarkStart w:id="261" w:name="_Toc989187"/>
      <w:r>
        <w:rPr>
          <w:rFonts w:ascii="宋体" w:eastAsia="宋体" w:hAnsi="宋体" w:cs="宋体"/>
          <w:b/>
          <w:bCs/>
          <w:szCs w:val="21"/>
        </w:rPr>
        <w:t>（3） 商誉所在资产组或资产组组合的相关信息</w:t>
      </w:r>
      <w:bookmarkEnd w:id="261"/>
    </w:p>
    <w:p w:rsidR="00037019" w:rsidRDefault="00BE788E" w:rsidP="00AF3B62">
      <w:pPr>
        <w:keepNext/>
        <w:keepLines/>
        <w:spacing w:before="300" w:after="300" w:line="280" w:lineRule="exact"/>
        <w:outlineLvl w:val="3"/>
        <w:rPr>
          <w:rFonts w:ascii="宋体" w:eastAsia="宋体" w:hAnsi="宋体" w:cs="宋体"/>
          <w:sz w:val="18"/>
          <w:szCs w:val="18"/>
        </w:rPr>
      </w:pPr>
      <w:r>
        <w:rPr>
          <w:rFonts w:ascii="宋体" w:eastAsia="宋体" w:hAnsi="宋体" w:cs="宋体"/>
          <w:sz w:val="18"/>
          <w:szCs w:val="18"/>
        </w:rPr>
        <w:t>其他说明</w:t>
      </w:r>
    </w:p>
    <w:p w:rsidR="00BE788E" w:rsidRDefault="00BE788E" w:rsidP="00AF3B62">
      <w:pPr>
        <w:pStyle w:val="a3"/>
        <w:spacing w:before="0" w:beforeAutospacing="0" w:after="0" w:afterAutospacing="0"/>
        <w:divId w:val="1522280382"/>
        <w:rPr>
          <w:sz w:val="18"/>
          <w:szCs w:val="18"/>
        </w:rPr>
      </w:pPr>
      <w:r>
        <w:rPr>
          <w:rFonts w:hint="eastAsia"/>
          <w:sz w:val="18"/>
          <w:szCs w:val="18"/>
        </w:rPr>
        <w:t>本公司之子公司新疆华孚棉业于2018年1月对新疆棉花交易市场进行增资；注入增资款3,520.00万元，占总价款的100%；合并日，取得的被投资单位可辨认净资产公允价值份额为3233.86万元，从而形成商誉386.14万元；</w:t>
      </w:r>
    </w:p>
    <w:p w:rsidR="00BE788E" w:rsidRDefault="00BE788E" w:rsidP="00AF3B62">
      <w:pPr>
        <w:pStyle w:val="a3"/>
        <w:spacing w:before="0" w:beforeAutospacing="0" w:after="0" w:afterAutospacing="0"/>
        <w:divId w:val="1522280382"/>
        <w:rPr>
          <w:sz w:val="18"/>
          <w:szCs w:val="18"/>
        </w:rPr>
      </w:pPr>
      <w:r>
        <w:rPr>
          <w:rFonts w:hint="eastAsia"/>
          <w:sz w:val="18"/>
          <w:szCs w:val="18"/>
        </w:rPr>
        <w:t>本公司子公司深圳</w:t>
      </w:r>
      <w:proofErr w:type="gramStart"/>
      <w:r>
        <w:rPr>
          <w:rFonts w:hint="eastAsia"/>
          <w:sz w:val="18"/>
          <w:szCs w:val="18"/>
        </w:rPr>
        <w:t>网链于</w:t>
      </w:r>
      <w:proofErr w:type="gramEnd"/>
      <w:r>
        <w:rPr>
          <w:rFonts w:hint="eastAsia"/>
          <w:sz w:val="18"/>
          <w:szCs w:val="18"/>
        </w:rPr>
        <w:t>2021年8月以现金27,083.00万元和持有的新疆阿大数字科技产业园有限公司100%股权、浙江易孚贸易有限公司70%股权向目标公司浙江阿大互联科技有限公司进行增资，投资成本合计为39,161.60万元，取得的被投资单位可辨认净资产公允价值份额为24,371.55万元，从而形成商誉14,790.05万元。</w:t>
      </w:r>
    </w:p>
    <w:p w:rsidR="00BE788E" w:rsidRDefault="00BE788E" w:rsidP="00AF3B62">
      <w:pPr>
        <w:pStyle w:val="a3"/>
        <w:spacing w:before="0" w:beforeAutospacing="0" w:after="0" w:afterAutospacing="0"/>
        <w:divId w:val="1522280382"/>
        <w:rPr>
          <w:sz w:val="18"/>
          <w:szCs w:val="18"/>
        </w:rPr>
      </w:pPr>
      <w:r>
        <w:rPr>
          <w:rFonts w:hint="eastAsia"/>
          <w:sz w:val="18"/>
          <w:szCs w:val="18"/>
        </w:rPr>
        <w:t>上述资产组与购买日所确认的资产组一致。</w:t>
      </w:r>
    </w:p>
    <w:p w:rsidR="00037019" w:rsidRDefault="00BE788E">
      <w:pPr>
        <w:keepNext/>
        <w:keepLines/>
        <w:spacing w:before="300" w:after="300" w:line="280" w:lineRule="exact"/>
        <w:outlineLvl w:val="3"/>
        <w:rPr>
          <w:rFonts w:ascii="宋体" w:eastAsia="宋体" w:hAnsi="宋体" w:cs="宋体"/>
          <w:b/>
          <w:bCs/>
          <w:szCs w:val="21"/>
        </w:rPr>
      </w:pPr>
      <w:bookmarkStart w:id="262" w:name="_Toc989188"/>
      <w:r>
        <w:rPr>
          <w:rFonts w:ascii="宋体" w:eastAsia="宋体" w:hAnsi="宋体" w:cs="宋体"/>
          <w:b/>
          <w:bCs/>
          <w:szCs w:val="21"/>
        </w:rPr>
        <w:t>（4） 可收回金额的具体确定方法</w:t>
      </w:r>
      <w:bookmarkEnd w:id="26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r w:rsidR="00AF3B62">
        <w:rPr>
          <w:rFonts w:ascii="宋体" w:eastAsia="宋体" w:hAnsi="宋体" w:cs="宋体" w:hint="eastAsia"/>
          <w:sz w:val="18"/>
          <w:szCs w:val="18"/>
        </w:rPr>
        <w:t>：</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63" w:name="_Toc989189"/>
      <w:r>
        <w:rPr>
          <w:rFonts w:ascii="宋体" w:eastAsia="宋体" w:hAnsi="宋体" w:cs="宋体"/>
          <w:b/>
          <w:bCs/>
          <w:szCs w:val="21"/>
        </w:rPr>
        <w:t>（5） 业绩承诺完成及对应商誉减值情况</w:t>
      </w:r>
      <w:bookmarkEnd w:id="26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形成商誉时存在业绩承诺</w:t>
      </w:r>
      <w:proofErr w:type="gramStart"/>
      <w:r>
        <w:rPr>
          <w:rFonts w:ascii="宋体" w:eastAsia="宋体" w:hAnsi="宋体" w:cs="宋体"/>
          <w:sz w:val="18"/>
          <w:szCs w:val="18"/>
        </w:rPr>
        <w:t>且报告</w:t>
      </w:r>
      <w:proofErr w:type="gramEnd"/>
      <w:r>
        <w:rPr>
          <w:rFonts w:ascii="宋体" w:eastAsia="宋体" w:hAnsi="宋体" w:cs="宋体"/>
          <w:sz w:val="18"/>
          <w:szCs w:val="18"/>
        </w:rPr>
        <w:t>期或报告期上一期间处于业绩承诺期内</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F3B62">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64" w:name="_Toc989190"/>
      <w:r>
        <w:rPr>
          <w:rFonts w:ascii="宋体" w:hAnsi="宋体" w:cs="宋体"/>
          <w:b/>
          <w:bCs/>
        </w:rPr>
        <w:t>28、长期待摊费用</w:t>
      </w:r>
      <w:bookmarkEnd w:id="26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5,778,613.87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1,488,865.65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1,390,432.50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5,877,047.02</w:t>
            </w:r>
          </w:p>
        </w:tc>
      </w:tr>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3,481,678.08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1,977,196.55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2,918,072.36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114,229.42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2,426,572.85</w:t>
            </w:r>
          </w:p>
        </w:tc>
      </w:tr>
      <w:tr w:rsidR="00037019" w:rsidTr="00AF3B62">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8,948,799.36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921,358.24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4,158,615.34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5,711,542.26</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18,209,091.31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4,387,420.44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8,467,120.20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114,229.42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14,015,162.13</w:t>
            </w:r>
          </w:p>
        </w:tc>
      </w:tr>
    </w:tbl>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F3B62">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65" w:name="_Toc989191"/>
      <w:r>
        <w:rPr>
          <w:rFonts w:ascii="宋体" w:hAnsi="宋体" w:cs="宋体"/>
          <w:b/>
          <w:bCs/>
        </w:rPr>
        <w:t>29、递延所得税资产/递延所得税负债</w:t>
      </w:r>
      <w:bookmarkEnd w:id="265"/>
    </w:p>
    <w:p w:rsidR="00037019" w:rsidRDefault="00BE788E">
      <w:pPr>
        <w:keepNext/>
        <w:keepLines/>
        <w:spacing w:before="300" w:after="300" w:line="280" w:lineRule="exact"/>
        <w:outlineLvl w:val="3"/>
        <w:rPr>
          <w:rFonts w:ascii="宋体" w:eastAsia="宋体" w:hAnsi="宋体" w:cs="宋体"/>
          <w:b/>
          <w:bCs/>
          <w:szCs w:val="21"/>
        </w:rPr>
      </w:pPr>
      <w:bookmarkStart w:id="266" w:name="_Toc989192"/>
      <w:r>
        <w:rPr>
          <w:rFonts w:ascii="宋体" w:eastAsia="宋体" w:hAnsi="宋体" w:cs="宋体"/>
          <w:b/>
          <w:bCs/>
          <w:szCs w:val="21"/>
        </w:rPr>
        <w:t>（1）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的递延所得税资产</w:t>
      </w:r>
      <w:bookmarkEnd w:id="26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199,564,816.89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32,743,567.96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196,547,126.87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29,719,512.14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6,165,809.60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1,541,452.40</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458,291,724.94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145,437,394.45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459,378,160.93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145,464,764.91</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30,019,761.35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3,044,420.83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28,805,219.87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2,826,571.99</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1,522.12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1,522.12</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20,257,803.24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4,031,150.54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20,257,803.24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4,031,150.54</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5,506,851.57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1,225,493.07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2,716,019.79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529,333.66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713,648,568.60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186,483,548.97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713,877,750.91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bl>
    <w:p w:rsidR="00037019" w:rsidRDefault="00BE788E">
      <w:pPr>
        <w:keepNext/>
        <w:keepLines/>
        <w:spacing w:before="300" w:after="300" w:line="280" w:lineRule="exact"/>
        <w:outlineLvl w:val="3"/>
        <w:rPr>
          <w:rFonts w:ascii="宋体" w:eastAsia="宋体" w:hAnsi="宋体" w:cs="宋体"/>
          <w:b/>
          <w:bCs/>
          <w:szCs w:val="21"/>
        </w:rPr>
      </w:pPr>
      <w:bookmarkStart w:id="267" w:name="_Toc989193"/>
      <w:r>
        <w:rPr>
          <w:rFonts w:ascii="宋体" w:eastAsia="宋体" w:hAnsi="宋体" w:cs="宋体"/>
          <w:b/>
          <w:bCs/>
          <w:szCs w:val="21"/>
        </w:rPr>
        <w:t>（2）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的递延所得税负债</w:t>
      </w:r>
      <w:bookmarkEnd w:id="26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17,562,975.60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2,634,446.34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16,474,616.91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2,471,192.54</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7,266,776.40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1,816,694.10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281,649.36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70,412.34</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94,218,703.54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14,132,805.53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73,326,774.87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10,999,016.23</w:t>
            </w: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未实现内部交易损失</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141,222.04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35,305.51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F3B62">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15,485.40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2,322.81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25,808.97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3,871.35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119,205,162.98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18,621,574.29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90,108,850.11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bl>
    <w:p w:rsidR="00037019" w:rsidRDefault="00BE788E">
      <w:pPr>
        <w:keepNext/>
        <w:keepLines/>
        <w:spacing w:before="300" w:after="300" w:line="280" w:lineRule="exact"/>
        <w:outlineLvl w:val="3"/>
        <w:rPr>
          <w:rFonts w:ascii="宋体" w:eastAsia="宋体" w:hAnsi="宋体" w:cs="宋体"/>
          <w:b/>
          <w:bCs/>
          <w:szCs w:val="21"/>
        </w:rPr>
      </w:pPr>
      <w:bookmarkStart w:id="268" w:name="_Toc989194"/>
      <w:r>
        <w:rPr>
          <w:rFonts w:ascii="宋体" w:eastAsia="宋体" w:hAnsi="宋体" w:cs="宋体"/>
          <w:b/>
          <w:bCs/>
          <w:szCs w:val="21"/>
        </w:rPr>
        <w:t>（3） 以</w:t>
      </w:r>
      <w:proofErr w:type="gramStart"/>
      <w:r>
        <w:rPr>
          <w:rFonts w:ascii="宋体" w:eastAsia="宋体" w:hAnsi="宋体" w:cs="宋体"/>
          <w:b/>
          <w:bCs/>
          <w:szCs w:val="21"/>
        </w:rPr>
        <w:t>抵销</w:t>
      </w:r>
      <w:proofErr w:type="gramEnd"/>
      <w:r>
        <w:rPr>
          <w:rFonts w:ascii="宋体" w:eastAsia="宋体" w:hAnsi="宋体" w:cs="宋体"/>
          <w:b/>
          <w:bCs/>
          <w:szCs w:val="21"/>
        </w:rPr>
        <w:t>后净额列示的递延所得税资产或负债</w:t>
      </w:r>
      <w:bookmarkEnd w:id="26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递延所得税资产和负债期末互</w:t>
            </w:r>
            <w:proofErr w:type="gramStart"/>
            <w:r>
              <w:rPr>
                <w:rFonts w:ascii="宋体" w:eastAsia="宋体" w:hAnsi="宋体" w:cs="宋体"/>
                <w:sz w:val="18"/>
                <w:szCs w:val="18"/>
              </w:rPr>
              <w:t>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w:t>
            </w:r>
            <w:proofErr w:type="gramStart"/>
            <w:r>
              <w:rPr>
                <w:rFonts w:ascii="宋体" w:eastAsia="宋体" w:hAnsi="宋体" w:cs="宋体"/>
                <w:sz w:val="18"/>
                <w:szCs w:val="18"/>
              </w:rPr>
              <w:t>初互抵金额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所得税资产或负债期初余额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186,483,548.97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184,114,307.76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18,621,574.29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13,544,492.46</w:t>
            </w:r>
          </w:p>
        </w:tc>
      </w:tr>
    </w:tbl>
    <w:p w:rsidR="00037019" w:rsidRDefault="00BE788E">
      <w:pPr>
        <w:keepNext/>
        <w:keepLines/>
        <w:spacing w:before="300" w:after="300" w:line="280" w:lineRule="exact"/>
        <w:outlineLvl w:val="3"/>
        <w:rPr>
          <w:rFonts w:ascii="宋体" w:eastAsia="宋体" w:hAnsi="宋体" w:cs="宋体"/>
          <w:b/>
          <w:bCs/>
          <w:szCs w:val="21"/>
        </w:rPr>
      </w:pPr>
      <w:bookmarkStart w:id="269" w:name="_Toc989195"/>
      <w:r>
        <w:rPr>
          <w:rFonts w:ascii="宋体" w:eastAsia="宋体" w:hAnsi="宋体" w:cs="宋体"/>
          <w:b/>
          <w:bCs/>
          <w:szCs w:val="21"/>
        </w:rPr>
        <w:t>（4） 未确认递延所得税资产明细</w:t>
      </w:r>
      <w:bookmarkEnd w:id="26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1,273,641,421.96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1,238,410,340.12</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604E99">
            <w:pPr>
              <w:spacing w:line="240" w:lineRule="exact"/>
              <w:jc w:val="right"/>
              <w:rPr>
                <w:rFonts w:ascii="宋体" w:eastAsia="宋体" w:hAnsi="宋体" w:cs="宋体"/>
                <w:sz w:val="18"/>
                <w:szCs w:val="18"/>
              </w:rPr>
            </w:pPr>
            <w:r w:rsidRPr="00604E99">
              <w:rPr>
                <w:rFonts w:ascii="宋体" w:eastAsia="宋体" w:hAnsi="宋体" w:cs="宋体"/>
                <w:sz w:val="18"/>
                <w:szCs w:val="18"/>
              </w:rPr>
              <w:t>99,224,408.32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138,453,487.06</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7,255,696.13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6,781,215.83</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4,392,013.63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6,821,096.59</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16,814,105.00</w:t>
            </w:r>
          </w:p>
        </w:tc>
      </w:tr>
      <w:tr w:rsidR="00037019" w:rsidTr="00AF3B62">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26,438,067.42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27,346,564.66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604E99">
            <w:pPr>
              <w:spacing w:line="240" w:lineRule="exact"/>
              <w:jc w:val="right"/>
              <w:rPr>
                <w:rFonts w:ascii="宋体" w:eastAsia="宋体" w:hAnsi="宋体" w:cs="宋体"/>
                <w:sz w:val="18"/>
                <w:szCs w:val="18"/>
              </w:rPr>
            </w:pPr>
            <w:r w:rsidRPr="00604E99">
              <w:rPr>
                <w:rFonts w:ascii="宋体" w:eastAsia="宋体" w:hAnsi="宋体" w:cs="宋体"/>
                <w:sz w:val="18"/>
                <w:szCs w:val="18"/>
              </w:rPr>
              <w:t>1,410,951,607.46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1,434,626,809.26</w:t>
            </w:r>
          </w:p>
        </w:tc>
      </w:tr>
    </w:tbl>
    <w:p w:rsidR="00AF3B62" w:rsidRDefault="00BE788E" w:rsidP="00AF3B62">
      <w:pPr>
        <w:keepNext/>
        <w:keepLines/>
        <w:spacing w:before="300" w:after="300" w:line="280" w:lineRule="exact"/>
        <w:outlineLvl w:val="3"/>
        <w:rPr>
          <w:rFonts w:ascii="宋体" w:eastAsia="宋体" w:hAnsi="宋体" w:cs="宋体"/>
          <w:b/>
          <w:bCs/>
          <w:szCs w:val="21"/>
        </w:rPr>
      </w:pPr>
      <w:bookmarkStart w:id="270" w:name="_Toc989196"/>
      <w:r>
        <w:rPr>
          <w:rFonts w:ascii="宋体" w:eastAsia="宋体" w:hAnsi="宋体" w:cs="宋体"/>
          <w:b/>
          <w:bCs/>
          <w:szCs w:val="21"/>
        </w:rPr>
        <w:t>（5） 未确认递延所得税资产的可抵扣亏损将于以下年度到期</w:t>
      </w:r>
      <w:bookmarkEnd w:id="270"/>
    </w:p>
    <w:p w:rsidR="00037019" w:rsidRDefault="00BE788E" w:rsidP="00AF3B62">
      <w:pPr>
        <w:keepNext/>
        <w:keepLines/>
        <w:spacing w:before="300" w:after="300" w:line="280" w:lineRule="exact"/>
        <w:outlineLvl w:val="3"/>
        <w:rPr>
          <w:rFonts w:ascii="宋体" w:eastAsia="宋体" w:hAnsi="宋体" w:cs="宋体"/>
          <w:sz w:val="18"/>
          <w:szCs w:val="18"/>
        </w:rPr>
      </w:pPr>
      <w:r>
        <w:rPr>
          <w:rFonts w:ascii="宋体" w:eastAsia="宋体" w:hAnsi="宋体" w:cs="宋体"/>
          <w:sz w:val="18"/>
          <w:szCs w:val="18"/>
        </w:rPr>
        <w:t>其他说明</w:t>
      </w:r>
    </w:p>
    <w:p w:rsidR="00BE788E" w:rsidRDefault="00BE788E">
      <w:pPr>
        <w:pStyle w:val="a3"/>
        <w:divId w:val="125497678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271" w:name="_Toc989197"/>
      <w:r>
        <w:rPr>
          <w:rFonts w:ascii="宋体" w:hAnsi="宋体" w:cs="宋体"/>
          <w:b/>
          <w:bCs/>
        </w:rPr>
        <w:lastRenderedPageBreak/>
        <w:t>30、其他非流动资产</w:t>
      </w:r>
      <w:bookmarkEnd w:id="27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566"/>
        <w:gridCol w:w="993"/>
        <w:gridCol w:w="1572"/>
        <w:gridCol w:w="1546"/>
        <w:gridCol w:w="992"/>
        <w:gridCol w:w="1593"/>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AF3B62">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56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7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54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99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rsidTr="00AF3B6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预付工程及设备款等</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19,752,714.98</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19,752,714.98</w:t>
            </w:r>
          </w:p>
        </w:tc>
        <w:tc>
          <w:tcPr>
            <w:tcW w:w="154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8,484,785.55</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8,484,785.55</w:t>
            </w:r>
          </w:p>
        </w:tc>
      </w:tr>
      <w:tr w:rsidR="00037019" w:rsidTr="00AF3B6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土地预付款</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10,765,274.64</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10,765,274.64</w:t>
            </w:r>
          </w:p>
        </w:tc>
        <w:tc>
          <w:tcPr>
            <w:tcW w:w="154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205,125,725.95</w:t>
            </w:r>
          </w:p>
        </w:tc>
      </w:tr>
      <w:tr w:rsidR="00037019" w:rsidTr="00AF3B62">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6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30,517,989.62</w:t>
            </w:r>
          </w:p>
        </w:tc>
        <w:tc>
          <w:tcPr>
            <w:tcW w:w="9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7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30,517,989.62</w:t>
            </w:r>
          </w:p>
        </w:tc>
        <w:tc>
          <w:tcPr>
            <w:tcW w:w="154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992"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213,610,511.50</w:t>
            </w:r>
          </w:p>
        </w:tc>
      </w:tr>
    </w:tbl>
    <w:p w:rsidR="00BE788E" w:rsidRPr="00AF3B62" w:rsidRDefault="00BE788E" w:rsidP="00AF3B62">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72" w:name="_Toc989198"/>
      <w:r>
        <w:rPr>
          <w:rFonts w:ascii="宋体" w:hAnsi="宋体" w:cs="宋体"/>
          <w:b/>
          <w:bCs/>
        </w:rPr>
        <w:t>31、所有权或使用权受到限制的资产</w:t>
      </w:r>
      <w:bookmarkEnd w:id="27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2,141,358,483.82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2,141,358,483.82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票据及借款等保证金</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票据及借款等保证金</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应收票据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31,526,549.44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应收票据质押借款</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应收票据质押借款</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2,688,721,351.32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1,670,999,856.20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3,012,964,801.47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1,837,189,262.44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无形资产</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68,154,671.15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45,586,966.63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89,398,298.25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50,296,648.52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抵押贷款</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4,929,761,055.73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3,889,471,856.09</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3,563,247,079.26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2,348,369,890.50</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73" w:name="_Toc989199"/>
      <w:r>
        <w:rPr>
          <w:rFonts w:ascii="宋体" w:hAnsi="宋体" w:cs="宋体"/>
          <w:b/>
          <w:bCs/>
        </w:rPr>
        <w:t>32、短期借款</w:t>
      </w:r>
      <w:bookmarkEnd w:id="273"/>
    </w:p>
    <w:p w:rsidR="00037019" w:rsidRDefault="00BE788E">
      <w:pPr>
        <w:keepNext/>
        <w:keepLines/>
        <w:spacing w:before="300" w:after="300" w:line="280" w:lineRule="exact"/>
        <w:outlineLvl w:val="3"/>
        <w:rPr>
          <w:rFonts w:ascii="宋体" w:eastAsia="宋体" w:hAnsi="宋体" w:cs="宋体"/>
          <w:b/>
          <w:bCs/>
          <w:szCs w:val="21"/>
        </w:rPr>
      </w:pPr>
      <w:bookmarkStart w:id="274" w:name="_Toc989200"/>
      <w:r>
        <w:rPr>
          <w:rFonts w:ascii="宋体" w:eastAsia="宋体" w:hAnsi="宋体" w:cs="宋体"/>
          <w:b/>
          <w:bCs/>
          <w:szCs w:val="21"/>
        </w:rPr>
        <w:t>（1） 短期借款分类</w:t>
      </w:r>
      <w:bookmarkEnd w:id="27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2,061,131,690.56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454,200,000.00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1,764,760,457.68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3,169,230,000.00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2,310,000,000.00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392,054,400.00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保证及抵押借款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1,102,798,565.28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743,000,000.00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1,456,460,000.00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911,400,000.00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5,269,005.00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信用、抵押及质押借款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801,290,000.00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4,567,403.94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3,168,944.90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8,095,382,059.78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7,083,948,407.58</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短期借款分类的说明：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75" w:name="_Toc989201"/>
      <w:r>
        <w:rPr>
          <w:rFonts w:ascii="宋体" w:eastAsia="宋体" w:hAnsi="宋体" w:cs="宋体"/>
          <w:b/>
          <w:bCs/>
          <w:szCs w:val="21"/>
        </w:rPr>
        <w:lastRenderedPageBreak/>
        <w:t>（2） 已逾期</w:t>
      </w:r>
      <w:proofErr w:type="gramStart"/>
      <w:r>
        <w:rPr>
          <w:rFonts w:ascii="宋体" w:eastAsia="宋体" w:hAnsi="宋体" w:cs="宋体"/>
          <w:b/>
          <w:bCs/>
          <w:szCs w:val="21"/>
        </w:rPr>
        <w:t>未偿</w:t>
      </w:r>
      <w:proofErr w:type="gramEnd"/>
      <w:r>
        <w:rPr>
          <w:rFonts w:ascii="宋体" w:eastAsia="宋体" w:hAnsi="宋体" w:cs="宋体"/>
          <w:b/>
          <w:bCs/>
          <w:szCs w:val="21"/>
        </w:rPr>
        <w:t>还的短期借款情况</w:t>
      </w:r>
      <w:bookmarkEnd w:id="275"/>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76" w:name="_Toc989202"/>
      <w:r>
        <w:rPr>
          <w:rFonts w:ascii="宋体" w:hAnsi="宋体" w:cs="宋体"/>
          <w:b/>
          <w:bCs/>
        </w:rPr>
        <w:t>33、交易性金融负债</w:t>
      </w:r>
      <w:bookmarkEnd w:id="276"/>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77" w:name="_Toc989203"/>
      <w:r>
        <w:rPr>
          <w:rFonts w:ascii="宋体" w:hAnsi="宋体" w:cs="宋体"/>
          <w:b/>
          <w:bCs/>
        </w:rPr>
        <w:t>34、衍生金融负债</w:t>
      </w:r>
      <w:bookmarkEnd w:id="277"/>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78" w:name="_Toc989204"/>
      <w:r>
        <w:rPr>
          <w:rFonts w:ascii="宋体" w:hAnsi="宋体" w:cs="宋体"/>
          <w:b/>
          <w:bCs/>
        </w:rPr>
        <w:t>35、应付票据</w:t>
      </w:r>
      <w:bookmarkEnd w:id="27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127,598,025.01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127,598,025.01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32,923,985.70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w:t>
      </w:r>
      <w:proofErr w:type="gramStart"/>
      <w:r>
        <w:rPr>
          <w:rFonts w:ascii="宋体" w:eastAsia="宋体" w:hAnsi="宋体" w:cs="宋体"/>
          <w:sz w:val="18"/>
          <w:szCs w:val="18"/>
        </w:rPr>
        <w:t>期末已</w:t>
      </w:r>
      <w:proofErr w:type="gramEnd"/>
      <w:r>
        <w:rPr>
          <w:rFonts w:ascii="宋体" w:eastAsia="宋体" w:hAnsi="宋体" w:cs="宋体"/>
          <w:sz w:val="18"/>
          <w:szCs w:val="18"/>
        </w:rPr>
        <w:t>到期未支付的应付票据总额为0.00元，到期未付的原因为无。</w:t>
      </w:r>
    </w:p>
    <w:p w:rsidR="00037019" w:rsidRDefault="00BE788E">
      <w:pPr>
        <w:pStyle w:val="3"/>
        <w:spacing w:line="280" w:lineRule="exact"/>
        <w:jc w:val="left"/>
        <w:rPr>
          <w:rFonts w:ascii="宋体" w:hAnsi="宋体" w:cs="宋体"/>
          <w:b/>
          <w:bCs/>
        </w:rPr>
      </w:pPr>
      <w:bookmarkStart w:id="279" w:name="_Toc989205"/>
      <w:r>
        <w:rPr>
          <w:rFonts w:ascii="宋体" w:hAnsi="宋体" w:cs="宋体"/>
          <w:b/>
          <w:bCs/>
        </w:rPr>
        <w:t>36、应付账款</w:t>
      </w:r>
      <w:bookmarkEnd w:id="279"/>
    </w:p>
    <w:p w:rsidR="00037019" w:rsidRDefault="00BE788E">
      <w:pPr>
        <w:keepNext/>
        <w:keepLines/>
        <w:spacing w:before="300" w:after="300" w:line="280" w:lineRule="exact"/>
        <w:outlineLvl w:val="3"/>
        <w:rPr>
          <w:rFonts w:ascii="宋体" w:eastAsia="宋体" w:hAnsi="宋体" w:cs="宋体"/>
          <w:b/>
          <w:bCs/>
          <w:sz w:val="18"/>
          <w:szCs w:val="18"/>
        </w:rPr>
      </w:pPr>
      <w:bookmarkStart w:id="280" w:name="_Toc989206"/>
      <w:r>
        <w:rPr>
          <w:rFonts w:ascii="宋体" w:eastAsia="宋体" w:hAnsi="宋体" w:cs="宋体"/>
          <w:b/>
          <w:bCs/>
          <w:sz w:val="18"/>
          <w:szCs w:val="18"/>
        </w:rPr>
        <w:t>（1） 应付账款列示</w:t>
      </w:r>
      <w:bookmarkEnd w:id="28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426,280,979.96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632,218,517.88</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107,638,605.60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181,762,997.23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121,636,725.51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86,114,311.48</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19,922,765.02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24,458,902.12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675,479,076.09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924,554,728.71</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281" w:name="_Toc989207"/>
      <w:r>
        <w:rPr>
          <w:rFonts w:ascii="宋体" w:eastAsia="宋体" w:hAnsi="宋体" w:cs="宋体"/>
          <w:b/>
          <w:bCs/>
          <w:sz w:val="18"/>
          <w:szCs w:val="18"/>
        </w:rPr>
        <w:t>（2） 账龄超过1年或逾期的重要应付账款</w:t>
      </w:r>
      <w:bookmarkEnd w:id="28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shd w:val="clear" w:color="auto" w:fill="auto"/>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37019" w:rsidTr="008561C1">
        <w:trPr>
          <w:trHeight w:val="240"/>
        </w:trPr>
        <w:tc>
          <w:tcPr>
            <w:tcW w:w="3213" w:type="dxa"/>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中煤第三建设（集团）有限责任公司</w:t>
            </w:r>
          </w:p>
        </w:tc>
        <w:tc>
          <w:tcPr>
            <w:tcW w:w="3213"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21,953,709.83</w:t>
            </w:r>
          </w:p>
        </w:tc>
        <w:tc>
          <w:tcPr>
            <w:tcW w:w="3213" w:type="dxa"/>
            <w:shd w:val="clear" w:color="auto" w:fill="auto"/>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未达到结算条件</w:t>
            </w:r>
          </w:p>
        </w:tc>
      </w:tr>
      <w:tr w:rsidR="00037019" w:rsidTr="008561C1">
        <w:trPr>
          <w:trHeight w:val="240"/>
        </w:trPr>
        <w:tc>
          <w:tcPr>
            <w:tcW w:w="3213" w:type="dxa"/>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shd w:val="clear" w:color="auto" w:fill="auto"/>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21,953,709.83</w:t>
            </w:r>
          </w:p>
        </w:tc>
        <w:tc>
          <w:tcPr>
            <w:tcW w:w="3213" w:type="dxa"/>
            <w:shd w:val="clear" w:color="auto" w:fill="auto"/>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82" w:name="_Toc989208"/>
      <w:r>
        <w:rPr>
          <w:rFonts w:ascii="宋体" w:hAnsi="宋体" w:cs="宋体"/>
          <w:b/>
          <w:bCs/>
        </w:rPr>
        <w:t>37、其他应付款</w:t>
      </w:r>
      <w:bookmarkEnd w:id="28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bl>
    <w:p w:rsidR="00037019" w:rsidRDefault="00BE788E">
      <w:pPr>
        <w:keepNext/>
        <w:keepLines/>
        <w:spacing w:before="300" w:after="300" w:line="280" w:lineRule="exact"/>
        <w:outlineLvl w:val="3"/>
        <w:rPr>
          <w:rFonts w:ascii="宋体" w:eastAsia="宋体" w:hAnsi="宋体" w:cs="宋体"/>
          <w:b/>
          <w:bCs/>
          <w:szCs w:val="21"/>
        </w:rPr>
      </w:pPr>
      <w:bookmarkStart w:id="283" w:name="_Toc989209"/>
      <w:r>
        <w:rPr>
          <w:rFonts w:ascii="宋体" w:eastAsia="宋体" w:hAnsi="宋体" w:cs="宋体"/>
          <w:b/>
          <w:bCs/>
          <w:szCs w:val="21"/>
        </w:rPr>
        <w:lastRenderedPageBreak/>
        <w:t>（1） 应付利息</w:t>
      </w:r>
      <w:bookmarkEnd w:id="283"/>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4" w:name="_Toc989210"/>
      <w:r>
        <w:rPr>
          <w:rFonts w:ascii="宋体" w:eastAsia="宋体" w:hAnsi="宋体" w:cs="宋体"/>
          <w:b/>
          <w:bCs/>
          <w:szCs w:val="21"/>
        </w:rPr>
        <w:t>（2） 应付股利</w:t>
      </w:r>
      <w:bookmarkEnd w:id="284"/>
    </w:p>
    <w:p w:rsidR="00BE788E" w:rsidRDefault="00BE788E">
      <w:pPr>
        <w:pStyle w:val="a3"/>
        <w:divId w:val="685670298"/>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285" w:name="_Toc989211"/>
      <w:r>
        <w:rPr>
          <w:rFonts w:ascii="宋体" w:eastAsia="宋体" w:hAnsi="宋体" w:cs="宋体"/>
          <w:b/>
          <w:bCs/>
          <w:szCs w:val="21"/>
        </w:rPr>
        <w:t>（3） 其他应付款</w:t>
      </w:r>
      <w:bookmarkEnd w:id="285"/>
    </w:p>
    <w:p w:rsidR="00037019" w:rsidRDefault="00BE788E">
      <w:pPr>
        <w:keepNext/>
        <w:keepLines/>
        <w:spacing w:before="300" w:after="300" w:line="280" w:lineRule="exact"/>
        <w:outlineLvl w:val="4"/>
        <w:rPr>
          <w:rFonts w:ascii="宋体" w:eastAsia="宋体" w:hAnsi="宋体" w:cs="宋体"/>
          <w:b/>
          <w:bCs/>
          <w:sz w:val="18"/>
          <w:szCs w:val="18"/>
        </w:rPr>
      </w:pPr>
      <w:bookmarkStart w:id="286" w:name="_Toc989212"/>
      <w:r>
        <w:rPr>
          <w:rFonts w:ascii="宋体" w:eastAsia="宋体" w:hAnsi="宋体" w:cs="宋体"/>
          <w:b/>
          <w:bCs/>
          <w:sz w:val="18"/>
          <w:szCs w:val="18"/>
        </w:rPr>
        <w:t>1） 按款项性质列示其他应付款</w:t>
      </w:r>
      <w:bookmarkEnd w:id="28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547,811.98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1,163,714.83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56,318,236.29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49,987,017.22</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38,879.96</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34,344,271.30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31,643,651.95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28,577,413.22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32,202,031.34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运费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30,344,031.38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28,386,241.79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电费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5,127,727.70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5,136,462.20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10,767,747.68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9,977,963.71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166,027,239.55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158,535,963.00</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287" w:name="_Toc989213"/>
      <w:r>
        <w:rPr>
          <w:rFonts w:ascii="宋体" w:eastAsia="宋体" w:hAnsi="宋体" w:cs="宋体"/>
          <w:b/>
          <w:bCs/>
          <w:sz w:val="18"/>
          <w:szCs w:val="18"/>
        </w:rPr>
        <w:t>2） 账龄超过1年或逾期的重要其他应付款</w:t>
      </w:r>
      <w:bookmarkEnd w:id="287"/>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88" w:name="_Toc989214"/>
      <w:r>
        <w:rPr>
          <w:rFonts w:ascii="宋体" w:hAnsi="宋体" w:cs="宋体"/>
          <w:b/>
          <w:bCs/>
        </w:rPr>
        <w:t>38、预收款项</w:t>
      </w:r>
      <w:bookmarkEnd w:id="288"/>
    </w:p>
    <w:p w:rsidR="00037019" w:rsidRDefault="00BE788E">
      <w:pPr>
        <w:keepNext/>
        <w:keepLines/>
        <w:spacing w:before="300" w:after="300" w:line="280" w:lineRule="exact"/>
        <w:outlineLvl w:val="3"/>
        <w:rPr>
          <w:rFonts w:ascii="宋体" w:eastAsia="宋体" w:hAnsi="宋体" w:cs="宋体"/>
          <w:b/>
          <w:bCs/>
          <w:szCs w:val="21"/>
        </w:rPr>
      </w:pPr>
      <w:bookmarkStart w:id="289" w:name="_Toc989215"/>
      <w:r>
        <w:rPr>
          <w:rFonts w:ascii="宋体" w:eastAsia="宋体" w:hAnsi="宋体" w:cs="宋体"/>
          <w:b/>
          <w:bCs/>
          <w:szCs w:val="21"/>
        </w:rPr>
        <w:t>（1） 预收款项列示</w:t>
      </w:r>
      <w:bookmarkEnd w:id="28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9,909,164.85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7,293,483.28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9,909,164.85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7,293,483.28</w:t>
            </w:r>
          </w:p>
        </w:tc>
      </w:tr>
    </w:tbl>
    <w:p w:rsidR="00037019" w:rsidRDefault="00BE788E">
      <w:pPr>
        <w:keepNext/>
        <w:keepLines/>
        <w:spacing w:before="300" w:after="300" w:line="280" w:lineRule="exact"/>
        <w:outlineLvl w:val="3"/>
        <w:rPr>
          <w:rFonts w:ascii="宋体" w:eastAsia="宋体" w:hAnsi="宋体" w:cs="宋体"/>
          <w:b/>
          <w:bCs/>
          <w:szCs w:val="21"/>
        </w:rPr>
      </w:pPr>
      <w:bookmarkStart w:id="290" w:name="_Toc989216"/>
      <w:r>
        <w:rPr>
          <w:rFonts w:ascii="宋体" w:eastAsia="宋体" w:hAnsi="宋体" w:cs="宋体"/>
          <w:b/>
          <w:bCs/>
          <w:szCs w:val="21"/>
        </w:rPr>
        <w:t>（2） 账龄超过1年或逾期的重要预收款项</w:t>
      </w:r>
      <w:bookmarkEnd w:id="290"/>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91" w:name="_Toc989217"/>
      <w:r>
        <w:rPr>
          <w:rFonts w:ascii="宋体" w:hAnsi="宋体" w:cs="宋体"/>
          <w:b/>
          <w:bCs/>
        </w:rPr>
        <w:t>39、合同负债</w:t>
      </w:r>
      <w:bookmarkEnd w:id="29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452,776,847.26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715,430,170.40</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账龄超过1年的重要合同负债</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徐州华鹏棉麻有限公司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2,837,589.39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未达到结算条件</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2,837,589.39</w:t>
            </w:r>
          </w:p>
        </w:tc>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037019" w:rsidRDefault="00BE788E">
      <w:pPr>
        <w:pStyle w:val="3"/>
        <w:spacing w:line="280" w:lineRule="exact"/>
        <w:jc w:val="left"/>
        <w:rPr>
          <w:rFonts w:ascii="宋体" w:hAnsi="宋体" w:cs="宋体"/>
          <w:b/>
          <w:bCs/>
        </w:rPr>
      </w:pPr>
      <w:bookmarkStart w:id="292" w:name="_Toc989218"/>
      <w:r>
        <w:rPr>
          <w:rFonts w:ascii="宋体" w:hAnsi="宋体" w:cs="宋体"/>
          <w:b/>
          <w:bCs/>
        </w:rPr>
        <w:t>40、应付职工薪</w:t>
      </w:r>
      <w:proofErr w:type="gramStart"/>
      <w:r>
        <w:rPr>
          <w:rFonts w:ascii="宋体" w:hAnsi="宋体" w:cs="宋体"/>
          <w:b/>
          <w:bCs/>
        </w:rPr>
        <w:t>酬</w:t>
      </w:r>
      <w:bookmarkEnd w:id="292"/>
      <w:proofErr w:type="gramEnd"/>
    </w:p>
    <w:p w:rsidR="00037019" w:rsidRDefault="00BE788E">
      <w:pPr>
        <w:keepNext/>
        <w:keepLines/>
        <w:spacing w:before="300" w:after="300" w:line="280" w:lineRule="exact"/>
        <w:outlineLvl w:val="3"/>
        <w:rPr>
          <w:rFonts w:ascii="宋体" w:eastAsia="宋体" w:hAnsi="宋体" w:cs="宋体"/>
          <w:b/>
          <w:bCs/>
          <w:szCs w:val="21"/>
        </w:rPr>
      </w:pPr>
      <w:bookmarkStart w:id="293" w:name="_Toc989219"/>
      <w:r>
        <w:rPr>
          <w:rFonts w:ascii="宋体" w:eastAsia="宋体" w:hAnsi="宋体" w:cs="宋体"/>
          <w:b/>
          <w:bCs/>
          <w:szCs w:val="21"/>
        </w:rPr>
        <w:t>（1） 应付职工薪</w:t>
      </w:r>
      <w:proofErr w:type="gramStart"/>
      <w:r>
        <w:rPr>
          <w:rFonts w:ascii="宋体" w:eastAsia="宋体" w:hAnsi="宋体" w:cs="宋体"/>
          <w:b/>
          <w:bCs/>
          <w:szCs w:val="21"/>
        </w:rPr>
        <w:t>酬</w:t>
      </w:r>
      <w:proofErr w:type="gramEnd"/>
      <w:r>
        <w:rPr>
          <w:rFonts w:ascii="宋体" w:eastAsia="宋体" w:hAnsi="宋体" w:cs="宋体"/>
          <w:b/>
          <w:bCs/>
          <w:szCs w:val="21"/>
        </w:rPr>
        <w:t>列示</w:t>
      </w:r>
      <w:bookmarkEnd w:id="29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一、短期薪酬</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68,750,503.64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384,800,324.74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396,410,045.33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57,140,783.05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二、离职后福利-设定提存计划</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1,150,391.82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25,187,868.23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26,121,918.54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216,341.51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三、辞退福利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415,140.10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415,140.10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69,900,895.46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410,403,333.07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422,947,103.97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57,357,124.56</w:t>
            </w:r>
          </w:p>
        </w:tc>
      </w:tr>
    </w:tbl>
    <w:p w:rsidR="00037019" w:rsidRDefault="00BE788E">
      <w:pPr>
        <w:keepNext/>
        <w:keepLines/>
        <w:spacing w:before="300" w:after="300" w:line="280" w:lineRule="exact"/>
        <w:outlineLvl w:val="3"/>
        <w:rPr>
          <w:rFonts w:ascii="宋体" w:eastAsia="宋体" w:hAnsi="宋体" w:cs="宋体"/>
          <w:b/>
          <w:bCs/>
          <w:szCs w:val="21"/>
        </w:rPr>
      </w:pPr>
      <w:bookmarkStart w:id="294" w:name="_Toc989220"/>
      <w:r>
        <w:rPr>
          <w:rFonts w:ascii="宋体" w:eastAsia="宋体" w:hAnsi="宋体" w:cs="宋体"/>
          <w:b/>
          <w:bCs/>
          <w:szCs w:val="21"/>
        </w:rPr>
        <w:t>（2） 短期薪酬列示</w:t>
      </w:r>
      <w:bookmarkEnd w:id="29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1、工资、奖金、津贴和补贴</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62,849,077.48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363,953,930.02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375,540,161.49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51,262,846.01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2、职工福利费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561,674.44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3,144,342.45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3,100,813.55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605,203.34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3、社会保险费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2,336,268.17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14,638,151.47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15,167,580.39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1,806,839.25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8561C1">
            <w:pPr>
              <w:spacing w:before="40" w:after="40" w:line="240" w:lineRule="exact"/>
              <w:rPr>
                <w:rFonts w:ascii="宋体" w:eastAsia="宋体" w:hAnsi="宋体" w:cs="宋体"/>
                <w:sz w:val="18"/>
                <w:szCs w:val="18"/>
              </w:rPr>
            </w:pPr>
            <w:r>
              <w:rPr>
                <w:rFonts w:ascii="宋体" w:eastAsia="宋体" w:hAnsi="宋体" w:cs="宋体"/>
                <w:sz w:val="18"/>
                <w:szCs w:val="18"/>
              </w:rPr>
              <w:t>其中：医疗保险费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2,311,300.10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13,052,753.10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13,565,806.74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1,798,246.46</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8561C1">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工伤保险费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24,006.50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1,562,273.39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1,578,976.67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7,303.22</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8561C1">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生育保险费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23,124.98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22,796.98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1,289.57</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4、住房公积金</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117,222.00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1,228,857.51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1,215,806.76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130,272.75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5、工会经费和职工教育经费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2,886,261.55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1,835,043.29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1,385,683.14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3,335,621.70</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68,750,503.64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384,800,324.74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396,410,045.33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57,140,783.05</w:t>
            </w:r>
          </w:p>
        </w:tc>
      </w:tr>
    </w:tbl>
    <w:p w:rsidR="00037019" w:rsidRDefault="00BE788E">
      <w:pPr>
        <w:keepNext/>
        <w:keepLines/>
        <w:spacing w:before="300" w:after="300" w:line="280" w:lineRule="exact"/>
        <w:outlineLvl w:val="3"/>
        <w:rPr>
          <w:rFonts w:ascii="宋体" w:eastAsia="宋体" w:hAnsi="宋体" w:cs="宋体"/>
          <w:b/>
          <w:bCs/>
          <w:szCs w:val="21"/>
        </w:rPr>
      </w:pPr>
      <w:bookmarkStart w:id="295" w:name="_Toc989221"/>
      <w:r>
        <w:rPr>
          <w:rFonts w:ascii="宋体" w:eastAsia="宋体" w:hAnsi="宋体" w:cs="宋体"/>
          <w:b/>
          <w:bCs/>
          <w:szCs w:val="21"/>
        </w:rPr>
        <w:t>（3） 设定提存计划列示</w:t>
      </w:r>
      <w:bookmarkEnd w:id="29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915,892.96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24,398,091.93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25,175,123.19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138,861.70</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234,498.86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789,776.30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946,795.35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77,479.81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1,150,391.82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25,187,868.23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26,121,918.54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216,341.51</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96" w:name="_Toc989222"/>
      <w:r>
        <w:rPr>
          <w:rFonts w:ascii="宋体" w:hAnsi="宋体" w:cs="宋体"/>
          <w:b/>
          <w:bCs/>
        </w:rPr>
        <w:t>41、应交税费</w:t>
      </w:r>
      <w:bookmarkEnd w:id="29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7,012,419.01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26,124,633.11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4,170,400.71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29,718,268.53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9,047,204.32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6,910,523.40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672,753.07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1,659,224.97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房产税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5,008,046.11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6,337,832.84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3,991,051.59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7,318,875.23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463,894.08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1,176,695.70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5,009,472.45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3,615,956.69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35,375,241.34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82,862,010.47</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97" w:name="_Toc989223"/>
      <w:r>
        <w:rPr>
          <w:rFonts w:ascii="宋体" w:hAnsi="宋体" w:cs="宋体"/>
          <w:b/>
          <w:bCs/>
        </w:rPr>
        <w:t>42、持有待售负债</w:t>
      </w:r>
      <w:bookmarkEnd w:id="297"/>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Pr>
          <w:rFonts w:hint="eastAsia"/>
          <w:sz w:val="18"/>
          <w:szCs w:val="18"/>
        </w:rPr>
        <w:t>无。</w:t>
      </w:r>
    </w:p>
    <w:p w:rsidR="00037019" w:rsidRDefault="00BE788E">
      <w:pPr>
        <w:pStyle w:val="3"/>
        <w:spacing w:line="280" w:lineRule="exact"/>
        <w:jc w:val="left"/>
        <w:rPr>
          <w:rFonts w:ascii="宋体" w:hAnsi="宋体" w:cs="宋体"/>
          <w:b/>
          <w:bCs/>
        </w:rPr>
      </w:pPr>
      <w:bookmarkStart w:id="298" w:name="_Toc989224"/>
      <w:r>
        <w:rPr>
          <w:rFonts w:ascii="宋体" w:hAnsi="宋体" w:cs="宋体"/>
          <w:b/>
          <w:bCs/>
        </w:rPr>
        <w:t>43、一年内到期的非流动负债</w:t>
      </w:r>
      <w:bookmarkEnd w:id="29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405,557,251.58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403,964,996.14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7,157,825.82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11,282,582.60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1,304,155.71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582,748.42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414,019,233.11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415,830,327.16</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299" w:name="_Toc989225"/>
      <w:r>
        <w:rPr>
          <w:rFonts w:ascii="宋体" w:hAnsi="宋体" w:cs="宋体"/>
          <w:b/>
          <w:bCs/>
        </w:rPr>
        <w:t>44、其他流动负债</w:t>
      </w:r>
      <w:bookmarkEnd w:id="29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待结转增值税额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46,295,090.51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46,295,090.51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65,480,068.80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300" w:name="_Toc989226"/>
      <w:r>
        <w:rPr>
          <w:rFonts w:ascii="宋体" w:hAnsi="宋体" w:cs="宋体"/>
          <w:b/>
          <w:bCs/>
        </w:rPr>
        <w:t>45、长期借款</w:t>
      </w:r>
      <w:bookmarkEnd w:id="300"/>
    </w:p>
    <w:p w:rsidR="00037019" w:rsidRDefault="00BE788E">
      <w:pPr>
        <w:keepNext/>
        <w:keepLines/>
        <w:spacing w:before="300" w:after="300" w:line="280" w:lineRule="exact"/>
        <w:outlineLvl w:val="3"/>
        <w:rPr>
          <w:rFonts w:ascii="宋体" w:eastAsia="宋体" w:hAnsi="宋体" w:cs="宋体"/>
          <w:b/>
          <w:bCs/>
          <w:sz w:val="18"/>
          <w:szCs w:val="18"/>
        </w:rPr>
      </w:pPr>
      <w:bookmarkStart w:id="301" w:name="_Toc989227"/>
      <w:r>
        <w:rPr>
          <w:rFonts w:ascii="宋体" w:eastAsia="宋体" w:hAnsi="宋体" w:cs="宋体"/>
          <w:b/>
          <w:bCs/>
          <w:sz w:val="18"/>
          <w:szCs w:val="18"/>
        </w:rPr>
        <w:t>（1） 长期借款分类</w:t>
      </w:r>
      <w:bookmarkEnd w:id="30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379,550,000.00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282,758,394.50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3,642,973.62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185,362,727.15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872,988,438.84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662,238,233.03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未到期应付利息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721,407.29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649,622.19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-406,861,407.29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-404,547,744.56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850,041,412.46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726,461,232.31</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长期借款分类的说明：</w:t>
      </w:r>
      <w:r>
        <w:rPr>
          <w:rFonts w:hint="eastAsia"/>
          <w:sz w:val="18"/>
          <w:szCs w:val="18"/>
        </w:rPr>
        <w:t>无。</w:t>
      </w:r>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其他说明，包括利率区间：</w:t>
      </w:r>
      <w:r>
        <w:rPr>
          <w:rFonts w:hint="eastAsia"/>
          <w:sz w:val="18"/>
          <w:szCs w:val="18"/>
        </w:rPr>
        <w:t>无。</w:t>
      </w:r>
    </w:p>
    <w:p w:rsidR="00037019" w:rsidRDefault="00BE788E">
      <w:pPr>
        <w:pStyle w:val="3"/>
        <w:spacing w:line="280" w:lineRule="exact"/>
        <w:jc w:val="left"/>
        <w:rPr>
          <w:rFonts w:ascii="宋体" w:hAnsi="宋体" w:cs="宋体"/>
          <w:b/>
          <w:bCs/>
        </w:rPr>
      </w:pPr>
      <w:bookmarkStart w:id="302" w:name="_Toc989228"/>
      <w:r>
        <w:rPr>
          <w:rFonts w:ascii="宋体" w:hAnsi="宋体" w:cs="宋体"/>
          <w:b/>
          <w:bCs/>
        </w:rPr>
        <w:t>46、应付债券</w:t>
      </w:r>
      <w:bookmarkEnd w:id="30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sz w:val="18"/>
          <w:szCs w:val="18"/>
        </w:rPr>
        <w:t>：无</w:t>
      </w:r>
    </w:p>
    <w:p w:rsidR="00037019" w:rsidRDefault="00BE788E">
      <w:pPr>
        <w:pStyle w:val="3"/>
        <w:spacing w:line="280" w:lineRule="exact"/>
        <w:jc w:val="left"/>
        <w:rPr>
          <w:rFonts w:ascii="宋体" w:hAnsi="宋体" w:cs="宋体"/>
          <w:b/>
          <w:bCs/>
        </w:rPr>
      </w:pPr>
      <w:bookmarkStart w:id="303" w:name="_Toc989233"/>
      <w:r>
        <w:rPr>
          <w:rFonts w:ascii="宋体" w:hAnsi="宋体" w:cs="宋体"/>
          <w:b/>
          <w:bCs/>
        </w:rPr>
        <w:t>47、租赁负债</w:t>
      </w:r>
      <w:bookmarkEnd w:id="30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租赁房屋建筑物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26,061,570.81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28,836,917.19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租赁设备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523,598.73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523,598.73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-1,377,985.78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-2,086,836.79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-7,157,825.82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-11,282,582.60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18,049,357.94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15,991,096.53</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304" w:name="_Toc989234"/>
      <w:r>
        <w:rPr>
          <w:rFonts w:ascii="宋体" w:hAnsi="宋体" w:cs="宋体"/>
          <w:b/>
          <w:bCs/>
        </w:rPr>
        <w:t>48、长期应付款</w:t>
      </w:r>
      <w:bookmarkEnd w:id="30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244,367,138.45</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305" w:name="_Toc989235"/>
      <w:r>
        <w:rPr>
          <w:rFonts w:ascii="宋体" w:eastAsia="宋体" w:hAnsi="宋体" w:cs="宋体"/>
          <w:b/>
          <w:bCs/>
          <w:sz w:val="18"/>
          <w:szCs w:val="18"/>
        </w:rPr>
        <w:t>（1） 按款项性质列示长期应付款</w:t>
      </w:r>
      <w:bookmarkEnd w:id="30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4,290,262.78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附限制</w:t>
            </w:r>
            <w:proofErr w:type="gramEnd"/>
            <w:r>
              <w:rPr>
                <w:rFonts w:ascii="宋体" w:eastAsia="宋体" w:hAnsi="宋体" w:cs="宋体"/>
                <w:sz w:val="18"/>
                <w:szCs w:val="18"/>
              </w:rPr>
              <w:t>条件的投资款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股权款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06" w:name="_Toc989236"/>
      <w:r>
        <w:rPr>
          <w:rFonts w:ascii="宋体" w:eastAsia="宋体" w:hAnsi="宋体" w:cs="宋体"/>
          <w:b/>
          <w:bCs/>
          <w:sz w:val="18"/>
          <w:szCs w:val="18"/>
        </w:rPr>
        <w:t>（2） 专项应付款</w:t>
      </w:r>
      <w:bookmarkEnd w:id="306"/>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07" w:name="_Toc989237"/>
      <w:r>
        <w:rPr>
          <w:rFonts w:ascii="宋体" w:hAnsi="宋体" w:cs="宋体"/>
          <w:b/>
          <w:bCs/>
        </w:rPr>
        <w:t>49、长期应付职工薪</w:t>
      </w:r>
      <w:proofErr w:type="gramStart"/>
      <w:r>
        <w:rPr>
          <w:rFonts w:ascii="宋体" w:hAnsi="宋体" w:cs="宋体"/>
          <w:b/>
          <w:bCs/>
        </w:rPr>
        <w:t>酬</w:t>
      </w:r>
      <w:bookmarkEnd w:id="307"/>
      <w:proofErr w:type="gramEnd"/>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308" w:name="_Toc989240"/>
      <w:r>
        <w:rPr>
          <w:rFonts w:ascii="宋体" w:hAnsi="宋体" w:cs="宋体"/>
          <w:b/>
          <w:bCs/>
        </w:rPr>
        <w:t>50、预计负债</w:t>
      </w:r>
      <w:bookmarkEnd w:id="30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其他说明，包括重要预计负债的相关重要假设、估计说明：</w:t>
      </w:r>
      <w:r>
        <w:rPr>
          <w:rFonts w:hint="eastAsia"/>
          <w:sz w:val="18"/>
          <w:szCs w:val="18"/>
        </w:rPr>
        <w:t>无。</w:t>
      </w:r>
    </w:p>
    <w:p w:rsidR="00037019" w:rsidRDefault="00BE788E">
      <w:pPr>
        <w:pStyle w:val="3"/>
        <w:spacing w:line="280" w:lineRule="exact"/>
        <w:jc w:val="left"/>
        <w:rPr>
          <w:rFonts w:ascii="宋体" w:hAnsi="宋体" w:cs="宋体"/>
          <w:b/>
          <w:bCs/>
        </w:rPr>
      </w:pPr>
      <w:bookmarkStart w:id="309" w:name="_Toc989241"/>
      <w:r>
        <w:rPr>
          <w:rFonts w:ascii="宋体" w:hAnsi="宋体" w:cs="宋体"/>
          <w:b/>
          <w:bCs/>
        </w:rPr>
        <w:t>51、递延收益</w:t>
      </w:r>
      <w:bookmarkEnd w:id="30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1,214,541.48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详见十一、政府补助</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1,214,541.48</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10" w:name="_Toc989242"/>
      <w:r>
        <w:rPr>
          <w:rFonts w:ascii="宋体" w:hAnsi="宋体" w:cs="宋体"/>
          <w:b/>
          <w:bCs/>
        </w:rPr>
        <w:t>52、其他非流动负债</w:t>
      </w:r>
      <w:bookmarkEnd w:id="310"/>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11" w:name="_Toc989243"/>
      <w:r>
        <w:rPr>
          <w:rFonts w:ascii="宋体" w:hAnsi="宋体" w:cs="宋体"/>
          <w:b/>
          <w:bCs/>
        </w:rPr>
        <w:t>53、股本</w:t>
      </w:r>
      <w:bookmarkEnd w:id="31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881"/>
        <w:gridCol w:w="1276"/>
        <w:gridCol w:w="850"/>
        <w:gridCol w:w="1276"/>
        <w:gridCol w:w="709"/>
        <w:gridCol w:w="709"/>
        <w:gridCol w:w="1734"/>
      </w:tblGrid>
      <w:tr w:rsidR="00037019" w:rsidTr="008561C1">
        <w:trPr>
          <w:trHeight w:val="240"/>
        </w:trPr>
        <w:tc>
          <w:tcPr>
            <w:tcW w:w="120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88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82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17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8561C1">
        <w:trPr>
          <w:trHeight w:val="240"/>
        </w:trPr>
        <w:tc>
          <w:tcPr>
            <w:tcW w:w="120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88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7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20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股份总数</w:t>
            </w:r>
          </w:p>
        </w:tc>
        <w:tc>
          <w:tcPr>
            <w:tcW w:w="188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09"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12" w:name="_Toc989244"/>
      <w:r>
        <w:rPr>
          <w:rFonts w:ascii="宋体" w:hAnsi="宋体" w:cs="宋体"/>
          <w:b/>
          <w:bCs/>
        </w:rPr>
        <w:t>54、其他权益工具</w:t>
      </w:r>
      <w:bookmarkEnd w:id="312"/>
    </w:p>
    <w:p w:rsidR="00037019" w:rsidRDefault="00BE788E">
      <w:pPr>
        <w:keepNext/>
        <w:keepLines/>
        <w:spacing w:before="300" w:after="300" w:line="280" w:lineRule="exact"/>
        <w:outlineLvl w:val="3"/>
        <w:rPr>
          <w:rFonts w:ascii="宋体" w:eastAsia="宋体" w:hAnsi="宋体" w:cs="宋体"/>
          <w:b/>
          <w:bCs/>
          <w:sz w:val="18"/>
          <w:szCs w:val="18"/>
        </w:rPr>
      </w:pPr>
      <w:bookmarkStart w:id="313" w:name="_Toc989245"/>
      <w:r>
        <w:rPr>
          <w:rFonts w:ascii="宋体" w:eastAsia="宋体" w:hAnsi="宋体" w:cs="宋体"/>
          <w:b/>
          <w:bCs/>
          <w:sz w:val="18"/>
          <w:szCs w:val="18"/>
        </w:rPr>
        <w:t>（1） 期末发行在外的优先股、永续债等其他金融工具基本情况</w:t>
      </w:r>
      <w:bookmarkEnd w:id="313"/>
    </w:p>
    <w:p w:rsidR="00BE788E" w:rsidRDefault="008561C1">
      <w:pPr>
        <w:pStyle w:val="a3"/>
        <w:divId w:val="1586449377"/>
        <w:rPr>
          <w:sz w:val="18"/>
          <w:szCs w:val="18"/>
        </w:rPr>
      </w:pPr>
      <w:r>
        <w:rPr>
          <w:rFonts w:hint="eastAsia"/>
          <w:sz w:val="18"/>
          <w:szCs w:val="18"/>
        </w:rPr>
        <w:t>无</w:t>
      </w:r>
    </w:p>
    <w:p w:rsidR="008561C1" w:rsidRDefault="00BE788E" w:rsidP="008561C1">
      <w:pPr>
        <w:keepNext/>
        <w:keepLines/>
        <w:spacing w:before="300" w:after="300" w:line="280" w:lineRule="exact"/>
        <w:outlineLvl w:val="3"/>
        <w:rPr>
          <w:rFonts w:ascii="宋体" w:eastAsia="宋体" w:hAnsi="宋体" w:cs="宋体"/>
          <w:b/>
          <w:bCs/>
          <w:sz w:val="18"/>
          <w:szCs w:val="18"/>
        </w:rPr>
      </w:pPr>
      <w:bookmarkStart w:id="314" w:name="_Toc989246"/>
      <w:r>
        <w:rPr>
          <w:rFonts w:ascii="宋体" w:eastAsia="宋体" w:hAnsi="宋体" w:cs="宋体"/>
          <w:b/>
          <w:bCs/>
          <w:sz w:val="18"/>
          <w:szCs w:val="18"/>
        </w:rPr>
        <w:t>（2） 期末发行在外的优先股、永续债等金融工具变动情况表</w:t>
      </w:r>
      <w:bookmarkEnd w:id="314"/>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315" w:name="_Toc989247"/>
      <w:r>
        <w:rPr>
          <w:rFonts w:ascii="宋体" w:hAnsi="宋体" w:cs="宋体"/>
          <w:b/>
          <w:bCs/>
        </w:rPr>
        <w:t>55、资本公积</w:t>
      </w:r>
      <w:bookmarkEnd w:id="31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660"/>
        <w:gridCol w:w="1744"/>
        <w:gridCol w:w="1745"/>
        <w:gridCol w:w="1745"/>
        <w:gridCol w:w="1745"/>
      </w:tblGrid>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7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74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74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74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资本溢价（股本溢价）</w:t>
            </w:r>
          </w:p>
        </w:tc>
        <w:tc>
          <w:tcPr>
            <w:tcW w:w="17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2,715,159,506.76</w:t>
            </w: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2,715,159,506.76</w:t>
            </w:r>
          </w:p>
        </w:tc>
      </w:tr>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其他资本公积</w:t>
            </w:r>
          </w:p>
        </w:tc>
        <w:tc>
          <w:tcPr>
            <w:tcW w:w="17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23,189,447.04</w:t>
            </w: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23,189,447.04</w:t>
            </w:r>
          </w:p>
        </w:tc>
      </w:tr>
      <w:tr w:rsidR="00037019" w:rsidTr="008561C1">
        <w:trPr>
          <w:trHeight w:val="240"/>
        </w:trPr>
        <w:tc>
          <w:tcPr>
            <w:tcW w:w="26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744"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74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无。</w:t>
      </w:r>
    </w:p>
    <w:p w:rsidR="00037019" w:rsidRDefault="00BE788E">
      <w:pPr>
        <w:pStyle w:val="3"/>
        <w:spacing w:line="280" w:lineRule="exact"/>
        <w:jc w:val="left"/>
        <w:rPr>
          <w:rFonts w:ascii="宋体" w:hAnsi="宋体" w:cs="宋体"/>
          <w:b/>
          <w:bCs/>
        </w:rPr>
      </w:pPr>
      <w:bookmarkStart w:id="316" w:name="_Toc989248"/>
      <w:r>
        <w:rPr>
          <w:rFonts w:ascii="宋体" w:hAnsi="宋体" w:cs="宋体"/>
          <w:b/>
          <w:bCs/>
        </w:rPr>
        <w:t>56、库存股</w:t>
      </w:r>
      <w:bookmarkEnd w:id="31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库存股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300,104,207.84</w:t>
            </w:r>
          </w:p>
        </w:tc>
      </w:tr>
    </w:tbl>
    <w:p w:rsidR="00037019" w:rsidRDefault="00BE788E" w:rsidP="008561C1">
      <w:pPr>
        <w:rPr>
          <w:rFonts w:ascii="宋体" w:eastAsia="宋体" w:hAnsi="宋体" w:cs="宋体"/>
          <w:sz w:val="18"/>
          <w:szCs w:val="18"/>
        </w:rPr>
      </w:pPr>
      <w:r>
        <w:rPr>
          <w:rFonts w:ascii="宋体" w:eastAsia="宋体" w:hAnsi="宋体" w:cs="宋体"/>
          <w:sz w:val="18"/>
          <w:szCs w:val="18"/>
        </w:rPr>
        <w:t>其他说明，包括本期增减变动情况、变动原因说明：</w:t>
      </w:r>
    </w:p>
    <w:p w:rsidR="00BE788E" w:rsidRDefault="00BE788E" w:rsidP="008561C1">
      <w:pPr>
        <w:pStyle w:val="a3"/>
        <w:spacing w:before="0" w:beforeAutospacing="0" w:after="0" w:afterAutospacing="0"/>
        <w:divId w:val="32387804"/>
        <w:rPr>
          <w:sz w:val="18"/>
          <w:szCs w:val="18"/>
        </w:rPr>
      </w:pPr>
      <w:r>
        <w:rPr>
          <w:rFonts w:hint="eastAsia"/>
          <w:sz w:val="18"/>
          <w:szCs w:val="18"/>
        </w:rPr>
        <w:t>库存股情况说明：于2024年1月31日召开第八届董事会2024年第二次临时会议，审议通过了《关于2024年回购公司股份方案的议案》。本次回购的股份种类为公司发行的人民币普通股（A股），回购股份的资金总额不低于人民币10,000万元，不超过人民币20,000万元，回购股份的价格不超过5.5元/股。截止2024年6月30日，公司已累计通过股票回购专用证券账户以集中竞价交易方式回购股份34403171股，占公司总股本2.02%。</w:t>
      </w:r>
    </w:p>
    <w:p w:rsidR="00037019" w:rsidRDefault="00BE788E">
      <w:pPr>
        <w:pStyle w:val="3"/>
        <w:spacing w:line="280" w:lineRule="exact"/>
        <w:jc w:val="left"/>
        <w:rPr>
          <w:rFonts w:ascii="宋体" w:hAnsi="宋体" w:cs="宋体"/>
          <w:b/>
          <w:bCs/>
        </w:rPr>
      </w:pPr>
      <w:bookmarkStart w:id="317" w:name="_Toc989249"/>
      <w:r>
        <w:rPr>
          <w:rFonts w:ascii="宋体" w:hAnsi="宋体" w:cs="宋体"/>
          <w:b/>
          <w:bCs/>
        </w:rPr>
        <w:t>57、其他综合收益</w:t>
      </w:r>
      <w:bookmarkEnd w:id="31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3,435,267.93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4,360,372.81</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A47D41">
            <w:pPr>
              <w:spacing w:before="40" w:after="40" w:line="240" w:lineRule="exact"/>
              <w:rPr>
                <w:rFonts w:ascii="宋体" w:eastAsia="宋体" w:hAnsi="宋体" w:cs="宋体"/>
                <w:sz w:val="18"/>
                <w:szCs w:val="18"/>
              </w:rPr>
            </w:pPr>
            <w:r>
              <w:rPr>
                <w:rFonts w:ascii="宋体" w:eastAsia="宋体" w:hAnsi="宋体" w:cs="宋体"/>
                <w:sz w:val="18"/>
                <w:szCs w:val="18"/>
              </w:rPr>
              <w:t>权益法下不能转损益的其他综合收益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-568,156.44</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A47D41">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4,003,424.37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925,104.88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4,928,529.25</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-99,588,773.93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-167,505,663.05</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A47D41">
            <w:pPr>
              <w:spacing w:before="40" w:after="40" w:line="240" w:lineRule="exact"/>
              <w:rPr>
                <w:rFonts w:ascii="宋体" w:eastAsia="宋体" w:hAnsi="宋体" w:cs="宋体"/>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-99,588,773.93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-67,916,889.12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-167,505,663.05</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-66,991,784.24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-163,145,290.24</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其他说明，包括对现金流量套期损益的有效部分转为被套</w:t>
      </w:r>
      <w:proofErr w:type="gramStart"/>
      <w:r>
        <w:rPr>
          <w:rFonts w:ascii="宋体" w:eastAsia="宋体" w:hAnsi="宋体" w:cs="宋体"/>
          <w:sz w:val="18"/>
          <w:szCs w:val="18"/>
        </w:rPr>
        <w:t>期项目</w:t>
      </w:r>
      <w:proofErr w:type="gramEnd"/>
      <w:r>
        <w:rPr>
          <w:rFonts w:ascii="宋体" w:eastAsia="宋体" w:hAnsi="宋体" w:cs="宋体"/>
          <w:sz w:val="18"/>
          <w:szCs w:val="18"/>
        </w:rPr>
        <w:t>初始确认金额调整：</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18" w:name="_Toc989250"/>
      <w:r>
        <w:rPr>
          <w:rFonts w:ascii="宋体" w:hAnsi="宋体" w:cs="宋体"/>
          <w:b/>
          <w:bCs/>
        </w:rPr>
        <w:t>58、专项储备</w:t>
      </w:r>
      <w:bookmarkEnd w:id="318"/>
    </w:p>
    <w:p w:rsidR="00BE788E" w:rsidRDefault="008561C1">
      <w:pPr>
        <w:pStyle w:val="a3"/>
        <w:divId w:val="1905526358"/>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19" w:name="_Toc989251"/>
      <w:r>
        <w:rPr>
          <w:rFonts w:ascii="宋体" w:hAnsi="宋体" w:cs="宋体"/>
          <w:b/>
          <w:bCs/>
        </w:rPr>
        <w:t>59、盈余公积</w:t>
      </w:r>
      <w:bookmarkEnd w:id="31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337,688,983.81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337,688,983.81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1,778,753.91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盈余公积说明，包括本期增减变动情况、变动原因说明：</w:t>
      </w:r>
      <w:r>
        <w:rPr>
          <w:rFonts w:hint="eastAsia"/>
          <w:sz w:val="18"/>
          <w:szCs w:val="18"/>
        </w:rPr>
        <w:t>无。</w:t>
      </w:r>
    </w:p>
    <w:p w:rsidR="00037019" w:rsidRDefault="00BE788E">
      <w:pPr>
        <w:pStyle w:val="3"/>
        <w:spacing w:line="280" w:lineRule="exact"/>
        <w:jc w:val="left"/>
        <w:rPr>
          <w:rFonts w:ascii="宋体" w:hAnsi="宋体" w:cs="宋体"/>
          <w:b/>
          <w:bCs/>
        </w:rPr>
      </w:pPr>
      <w:bookmarkStart w:id="320" w:name="_Toc989252"/>
      <w:r>
        <w:rPr>
          <w:rFonts w:ascii="宋体" w:hAnsi="宋体" w:cs="宋体"/>
          <w:b/>
          <w:bCs/>
        </w:rPr>
        <w:t>60、未分配利润</w:t>
      </w:r>
      <w:bookmarkEnd w:id="32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644"/>
        <w:gridCol w:w="2497"/>
        <w:gridCol w:w="2498"/>
      </w:tblGrid>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9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w:t>
            </w:r>
          </w:p>
        </w:tc>
        <w:tc>
          <w:tcPr>
            <w:tcW w:w="249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调整前上期末未分配利润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调整期初未分配利润合计数（调增+，调减-）</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653,061.97</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调整后期初未分配利润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1,644,239,862.18</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加：本期归属于母公司所有者的净利润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44,804,621.17</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66,782,080.49</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减：提取法定盈余公积</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36,729,849.93</w:t>
            </w:r>
          </w:p>
        </w:tc>
      </w:tr>
      <w:tr w:rsidR="00037019" w:rsidTr="008561C1">
        <w:trPr>
          <w:trHeight w:val="240"/>
        </w:trPr>
        <w:tc>
          <w:tcPr>
            <w:tcW w:w="464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期末未分配利润</w:t>
            </w:r>
          </w:p>
        </w:tc>
        <w:tc>
          <w:tcPr>
            <w:tcW w:w="249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1,719,096,713.91</w:t>
            </w:r>
          </w:p>
        </w:tc>
        <w:tc>
          <w:tcPr>
            <w:tcW w:w="249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1,674,292,092.74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调整期初未分配利润明细：</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1)、由于《企业会计准则》及其相关新规定进行追溯调整，影响期初未分配利润0.00元。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2)、由于会计政策变更，影响期初未分配利润0.00元。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3)、由于重大会计差错更正，影响期初未分配利润0.00元。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4)、由于同</w:t>
      </w:r>
      <w:proofErr w:type="gramStart"/>
      <w:r>
        <w:rPr>
          <w:rFonts w:ascii="宋体" w:eastAsia="宋体" w:hAnsi="宋体" w:cs="宋体"/>
          <w:sz w:val="18"/>
          <w:szCs w:val="18"/>
        </w:rPr>
        <w:t>一控制</w:t>
      </w:r>
      <w:proofErr w:type="gramEnd"/>
      <w:r>
        <w:rPr>
          <w:rFonts w:ascii="宋体" w:eastAsia="宋体" w:hAnsi="宋体" w:cs="宋体"/>
          <w:sz w:val="18"/>
          <w:szCs w:val="18"/>
        </w:rPr>
        <w:t>导致的合并范围变更，影响期初未分配利润0.00元。</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5)、其他调整合计影响期初未分配利润0.00元。</w:t>
      </w:r>
    </w:p>
    <w:p w:rsidR="00037019" w:rsidRDefault="00BE788E">
      <w:pPr>
        <w:pStyle w:val="3"/>
        <w:spacing w:line="280" w:lineRule="exact"/>
        <w:jc w:val="left"/>
        <w:rPr>
          <w:rFonts w:ascii="宋体" w:hAnsi="宋体" w:cs="宋体"/>
          <w:b/>
          <w:bCs/>
        </w:rPr>
      </w:pPr>
      <w:bookmarkStart w:id="321" w:name="_Toc989253"/>
      <w:r>
        <w:rPr>
          <w:rFonts w:ascii="宋体" w:hAnsi="宋体" w:cs="宋体"/>
          <w:b/>
          <w:bCs/>
        </w:rPr>
        <w:t>61、营业收入和营业成本</w:t>
      </w:r>
      <w:bookmarkEnd w:id="32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6,468,606,545.71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6,103,676,815.26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7,700,845,560.41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7,303,717,392.34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52,081,152.40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32,281,070.81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7,335,998,463.15</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rsidTr="008561C1">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2,804,191,089.99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3,049,683,448.73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2,804,191,089.99</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原、色</w:t>
            </w:r>
            <w:proofErr w:type="gramStart"/>
            <w:r>
              <w:rPr>
                <w:rFonts w:ascii="宋体" w:eastAsia="宋体" w:hAnsi="宋体" w:cs="宋体"/>
                <w:sz w:val="18"/>
                <w:szCs w:val="18"/>
              </w:rPr>
              <w:t>纤</w:t>
            </w:r>
            <w:proofErr w:type="gramEnd"/>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3,214,154,352.60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3,306,653,848.00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3,214,154,352.60</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祙制品</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85,331,372.67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112,269,248.98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85,331,372.67</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54,266,101.29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14,221,788.06</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710,389,894.60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801,404,649.32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710,389,894.60</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5,721,467,997.68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5,407,508,708.72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5,721,467,997.68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5,407,508,708.72</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6,505,307,971.50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6,114,703,921.41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6,505,307,971.50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6,114,703,921.41</w:t>
            </w:r>
          </w:p>
        </w:tc>
      </w:tr>
      <w:tr w:rsidR="00037019" w:rsidTr="008561C1">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3,194,681.91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3,194,681.91</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6,522,872,647.00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6,117,898,603.32</w:t>
            </w:r>
          </w:p>
        </w:tc>
      </w:tr>
    </w:tbl>
    <w:p w:rsidR="00BE788E" w:rsidRPr="008561C1" w:rsidRDefault="00BE788E" w:rsidP="008561C1">
      <w:pPr>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rsidP="008561C1">
      <w:pPr>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37019" w:rsidRDefault="00BE788E" w:rsidP="008561C1">
      <w:pP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BE788E" w:rsidRPr="008561C1" w:rsidRDefault="00BE788E" w:rsidP="008561C1">
      <w:pPr>
        <w:rPr>
          <w:rFonts w:ascii="宋体" w:eastAsia="宋体" w:hAnsi="宋体" w:cs="宋体"/>
          <w:sz w:val="18"/>
          <w:szCs w:val="18"/>
        </w:rPr>
      </w:pPr>
      <w:r>
        <w:rPr>
          <w:rFonts w:ascii="宋体" w:eastAsia="宋体" w:hAnsi="宋体" w:cs="宋体"/>
          <w:sz w:val="18"/>
          <w:szCs w:val="18"/>
        </w:rPr>
        <w:t>合同中可变对</w:t>
      </w:r>
      <w:proofErr w:type="gramStart"/>
      <w:r>
        <w:rPr>
          <w:rFonts w:ascii="宋体" w:eastAsia="宋体" w:hAnsi="宋体" w:cs="宋体"/>
          <w:sz w:val="18"/>
          <w:szCs w:val="18"/>
        </w:rPr>
        <w:t>价相关</w:t>
      </w:r>
      <w:proofErr w:type="gramEnd"/>
      <w:r>
        <w:rPr>
          <w:rFonts w:ascii="宋体" w:eastAsia="宋体" w:hAnsi="宋体" w:cs="宋体"/>
          <w:sz w:val="18"/>
          <w:szCs w:val="18"/>
        </w:rPr>
        <w:t>信息：</w:t>
      </w:r>
      <w:r w:rsidR="008561C1">
        <w:rPr>
          <w:rFonts w:hint="eastAsia"/>
          <w:sz w:val="18"/>
          <w:szCs w:val="18"/>
        </w:rPr>
        <w:t>无</w:t>
      </w:r>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22" w:name="_Toc989254"/>
      <w:r>
        <w:rPr>
          <w:rFonts w:ascii="宋体" w:hAnsi="宋体" w:cs="宋体"/>
          <w:b/>
          <w:bCs/>
        </w:rPr>
        <w:t>62、税金及附加</w:t>
      </w:r>
      <w:bookmarkEnd w:id="32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2,662,453.87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4,968,537.37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1,975,215.83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3,615,683.90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12,600,317.76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12,510,338.41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11,840,975.50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11,202,822.22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31,080.96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16,777.99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10,363,401.09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9,034,332.21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760,600.21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1,595,053.76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40,234,045.22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42,943,545.86</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Pr>
          <w:rFonts w:hint="eastAsia"/>
          <w:sz w:val="18"/>
          <w:szCs w:val="18"/>
        </w:rPr>
        <w:t>无。</w:t>
      </w:r>
    </w:p>
    <w:p w:rsidR="00037019" w:rsidRDefault="00BE788E">
      <w:pPr>
        <w:pStyle w:val="3"/>
        <w:spacing w:line="280" w:lineRule="exact"/>
        <w:jc w:val="left"/>
        <w:rPr>
          <w:rFonts w:ascii="宋体" w:hAnsi="宋体" w:cs="宋体"/>
          <w:b/>
          <w:bCs/>
        </w:rPr>
      </w:pPr>
      <w:bookmarkStart w:id="323" w:name="_Toc989255"/>
      <w:r>
        <w:rPr>
          <w:rFonts w:ascii="宋体" w:hAnsi="宋体" w:cs="宋体"/>
          <w:b/>
          <w:bCs/>
        </w:rPr>
        <w:t>63、管理费用</w:t>
      </w:r>
      <w:bookmarkEnd w:id="32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rsidTr="008561C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76,475,696.92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101,660,198.03</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9,629,941.35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9,234,690.91</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1,630,626.26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1,829,868.61</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修理费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1,070,226.17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772,274.93</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折旧费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37,522,461.15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45,781,921.46</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4,999,694.68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2,984,167.49</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差旅费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1,697,500.48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1,735,418.59</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1,990,559.05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1,881,352.27</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租赁费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1,402,161.25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1,368,930.79</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保险费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884,520.34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661,902.87</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环保费用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463,561.98</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7,378,420.39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1,401,367.42</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1,215,870.99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1,006,619.88</w:t>
            </w:r>
          </w:p>
        </w:tc>
      </w:tr>
      <w:tr w:rsidR="00037019" w:rsidTr="00A47D4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中介机构费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10,962,509.99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10,730,319.18</w:t>
            </w:r>
          </w:p>
        </w:tc>
      </w:tr>
      <w:tr w:rsidR="00037019" w:rsidTr="008561C1">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156,860,189.02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181,512,594.41</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24" w:name="_Toc989256"/>
      <w:r>
        <w:rPr>
          <w:rFonts w:ascii="宋体" w:hAnsi="宋体" w:cs="宋体"/>
          <w:b/>
          <w:bCs/>
        </w:rPr>
        <w:t>64、销售费用</w:t>
      </w:r>
      <w:bookmarkEnd w:id="32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16,894,253.13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19,141,669.72</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418,011.23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1,220,485.14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租赁费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14,796,750.63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19,559,041.74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开发费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565,887.68</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831,240.34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2,502,526.01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修理费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129,217.77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2,399,371.49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折旧费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4,209,168.09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4,205,791.01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差旅费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369,477.54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486,333.25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129,151.07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213,375.39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电商平台服务费</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11,999,550.80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17,622,341.70</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3,013,171.26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1,780,377.39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52,789,991.86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69,697,200.52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25" w:name="_Toc989257"/>
      <w:r>
        <w:rPr>
          <w:rFonts w:ascii="宋体" w:hAnsi="宋体" w:cs="宋体"/>
          <w:b/>
          <w:bCs/>
        </w:rPr>
        <w:t>65、研发费用</w:t>
      </w:r>
      <w:bookmarkEnd w:id="32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11,753,038.85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7,293,379.29</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6,043,567.77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5,857,222.06</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原材料</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30,702,257.09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36,887,003.03</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4,123,094.01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3,309,230.17</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4,237,847.61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2,200,284.63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56,859,805.33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55,547,119.18</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26" w:name="_Toc989258"/>
      <w:r>
        <w:rPr>
          <w:rFonts w:ascii="宋体" w:hAnsi="宋体" w:cs="宋体"/>
          <w:b/>
          <w:bCs/>
        </w:rPr>
        <w:t>66、财务费用</w:t>
      </w:r>
      <w:bookmarkEnd w:id="326"/>
    </w:p>
    <w:p w:rsidR="008561C1" w:rsidRPr="008561C1" w:rsidRDefault="008561C1" w:rsidP="008561C1"/>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82,109,097.85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113,313,442.25</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-8,464,181.30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-13,105,439.74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13,189,883.46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-61,327,794.71</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贴现</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6,396,853.03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2,638,086.04</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8,682,629.87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7,077,359.07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101,914,282.91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48,595,652.92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27" w:name="_Toc989259"/>
      <w:r>
        <w:rPr>
          <w:rFonts w:ascii="宋体" w:hAnsi="宋体" w:cs="宋体"/>
          <w:b/>
          <w:bCs/>
        </w:rPr>
        <w:t>67、其他收益</w:t>
      </w:r>
      <w:bookmarkEnd w:id="32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bl>
    <w:p w:rsidR="00037019" w:rsidRDefault="00BE788E">
      <w:pPr>
        <w:pStyle w:val="3"/>
        <w:spacing w:line="280" w:lineRule="exact"/>
        <w:jc w:val="left"/>
        <w:rPr>
          <w:rFonts w:ascii="宋体" w:hAnsi="宋体" w:cs="宋体"/>
          <w:b/>
          <w:bCs/>
        </w:rPr>
      </w:pPr>
      <w:bookmarkStart w:id="328" w:name="_Toc989260"/>
      <w:r>
        <w:rPr>
          <w:rFonts w:ascii="宋体" w:hAnsi="宋体" w:cs="宋体"/>
          <w:b/>
          <w:bCs/>
        </w:rPr>
        <w:t>68、净敞口套期收益</w:t>
      </w:r>
      <w:bookmarkEnd w:id="328"/>
    </w:p>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29" w:name="_Toc989261"/>
      <w:r>
        <w:rPr>
          <w:rFonts w:ascii="宋体" w:hAnsi="宋体" w:cs="宋体"/>
          <w:b/>
          <w:bCs/>
        </w:rPr>
        <w:t>69、公允价值变动收益</w:t>
      </w:r>
      <w:bookmarkEnd w:id="32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其中：衍生金融工具产生的公允价值变动收益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30" w:name="_Toc989262"/>
      <w:r>
        <w:rPr>
          <w:rFonts w:ascii="宋体" w:hAnsi="宋体" w:cs="宋体"/>
          <w:b/>
          <w:bCs/>
        </w:rPr>
        <w:t>70、投资收益</w:t>
      </w:r>
      <w:bookmarkEnd w:id="33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-3,328,800.78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-12,852,401.20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122,455.54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8,185,186.13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22,401,732.55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-61,004,750.68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892,500.00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3,369,930.81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3,193,523.93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-62,478,441.82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31" w:name="_Toc989263"/>
      <w:r>
        <w:rPr>
          <w:rFonts w:ascii="宋体" w:hAnsi="宋体" w:cs="宋体"/>
          <w:b/>
          <w:bCs/>
        </w:rPr>
        <w:t>71、信用减值损失</w:t>
      </w:r>
      <w:bookmarkEnd w:id="33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应收票据坏账损失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-579,104.91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应收账款坏账损失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4,195,863.88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-558,913.22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62,881.23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3,057,845.75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62,881.23</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ascii="宋体" w:eastAsia="宋体" w:hAnsi="宋体" w:cs="宋体" w:hint="eastAsia"/>
          <w:sz w:val="18"/>
          <w:szCs w:val="18"/>
        </w:rPr>
        <w:t>：</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32" w:name="_Toc989264"/>
      <w:r>
        <w:rPr>
          <w:rFonts w:ascii="宋体" w:hAnsi="宋体" w:cs="宋体"/>
          <w:b/>
          <w:bCs/>
        </w:rPr>
        <w:t>72、资产减值损失</w:t>
      </w:r>
      <w:bookmarkEnd w:id="33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23,531,629.26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-2,318,531.43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23,531,629.26</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33" w:name="_Toc989265"/>
      <w:r>
        <w:rPr>
          <w:rFonts w:ascii="宋体" w:hAnsi="宋体" w:cs="宋体"/>
          <w:b/>
          <w:bCs/>
        </w:rPr>
        <w:t>73、资产处置收益</w:t>
      </w:r>
      <w:bookmarkEnd w:id="333"/>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8561C1">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163,412.51</w:t>
            </w:r>
          </w:p>
        </w:tc>
      </w:tr>
    </w:tbl>
    <w:p w:rsidR="00037019" w:rsidRDefault="00BE788E">
      <w:pPr>
        <w:pStyle w:val="3"/>
        <w:spacing w:line="280" w:lineRule="exact"/>
        <w:jc w:val="left"/>
        <w:rPr>
          <w:rFonts w:ascii="宋体" w:hAnsi="宋体" w:cs="宋体"/>
          <w:b/>
          <w:bCs/>
        </w:rPr>
      </w:pPr>
      <w:bookmarkStart w:id="334" w:name="_Toc989266"/>
      <w:r>
        <w:rPr>
          <w:rFonts w:ascii="宋体" w:hAnsi="宋体" w:cs="宋体"/>
          <w:b/>
          <w:bCs/>
        </w:rPr>
        <w:t>74、营业外收入</w:t>
      </w:r>
      <w:bookmarkEnd w:id="33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确实无法支付的债务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624,480.51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1,349,120.17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624,480.51</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598,292.61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1,518,000.00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598,292.61</w:t>
            </w:r>
          </w:p>
        </w:tc>
      </w:tr>
      <w:tr w:rsidR="00037019" w:rsidTr="008561C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626,854.40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671,579.37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626,854.40</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3,538,699.54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1,849,627.52</w:t>
            </w:r>
          </w:p>
        </w:tc>
      </w:tr>
    </w:tbl>
    <w:p w:rsidR="00BE788E" w:rsidRPr="008561C1" w:rsidRDefault="00BE788E" w:rsidP="008561C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8561C1">
        <w:rPr>
          <w:rFonts w:hint="eastAsia"/>
          <w:sz w:val="18"/>
          <w:szCs w:val="18"/>
        </w:rPr>
        <w:t>无</w:t>
      </w:r>
    </w:p>
    <w:p w:rsidR="00037019" w:rsidRDefault="00BE788E">
      <w:pPr>
        <w:pStyle w:val="3"/>
        <w:spacing w:line="280" w:lineRule="exact"/>
        <w:jc w:val="left"/>
        <w:rPr>
          <w:rFonts w:ascii="宋体" w:hAnsi="宋体" w:cs="宋体"/>
          <w:b/>
          <w:bCs/>
        </w:rPr>
      </w:pPr>
      <w:bookmarkStart w:id="335" w:name="_Toc989267"/>
      <w:r>
        <w:rPr>
          <w:rFonts w:ascii="宋体" w:hAnsi="宋体" w:cs="宋体"/>
          <w:b/>
          <w:bCs/>
        </w:rPr>
        <w:t>75、营业外支出</w:t>
      </w:r>
      <w:bookmarkEnd w:id="33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750,035.30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790,295.50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750,035.30</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6,680.59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19,759.79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6,680.59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罚款及滞纳金支出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811,405.61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131,564.46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326F0C">
            <w:pPr>
              <w:spacing w:line="240" w:lineRule="exact"/>
              <w:jc w:val="right"/>
              <w:rPr>
                <w:rFonts w:ascii="宋体" w:eastAsia="宋体" w:hAnsi="宋体" w:cs="宋体"/>
                <w:sz w:val="18"/>
                <w:szCs w:val="18"/>
              </w:rPr>
            </w:pPr>
            <w:r>
              <w:rPr>
                <w:rFonts w:ascii="宋体" w:eastAsia="宋体" w:hAnsi="宋体" w:cs="宋体"/>
                <w:sz w:val="18"/>
                <w:szCs w:val="18"/>
              </w:rPr>
              <w:t>811,405.61</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460,046.70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587,745.72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460,046.70</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其他</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914,399.97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734,116.15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326F0C">
            <w:pPr>
              <w:spacing w:line="240" w:lineRule="exact"/>
              <w:jc w:val="right"/>
              <w:rPr>
                <w:rFonts w:ascii="宋体" w:eastAsia="宋体" w:hAnsi="宋体" w:cs="宋体"/>
                <w:sz w:val="18"/>
                <w:szCs w:val="18"/>
              </w:rPr>
            </w:pPr>
            <w:r>
              <w:rPr>
                <w:rFonts w:ascii="宋体" w:eastAsia="宋体" w:hAnsi="宋体" w:cs="宋体"/>
                <w:sz w:val="18"/>
                <w:szCs w:val="18"/>
              </w:rPr>
              <w:t>914,399.97</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2,263,481.62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2,942,568.17</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pStyle w:val="3"/>
        <w:spacing w:line="280" w:lineRule="exact"/>
        <w:jc w:val="left"/>
        <w:rPr>
          <w:rFonts w:ascii="宋体" w:hAnsi="宋体" w:cs="宋体"/>
          <w:b/>
          <w:bCs/>
        </w:rPr>
      </w:pPr>
      <w:bookmarkStart w:id="336" w:name="_Toc989268"/>
      <w:r>
        <w:rPr>
          <w:rFonts w:ascii="宋体" w:hAnsi="宋体" w:cs="宋体"/>
          <w:b/>
          <w:bCs/>
        </w:rPr>
        <w:t>76、所得税费用</w:t>
      </w:r>
      <w:bookmarkEnd w:id="336"/>
    </w:p>
    <w:p w:rsidR="00037019" w:rsidRDefault="00BE788E">
      <w:pPr>
        <w:keepNext/>
        <w:keepLines/>
        <w:spacing w:before="300" w:after="300" w:line="280" w:lineRule="exact"/>
        <w:outlineLvl w:val="3"/>
        <w:rPr>
          <w:rFonts w:ascii="宋体" w:eastAsia="宋体" w:hAnsi="宋体" w:cs="宋体"/>
          <w:b/>
          <w:bCs/>
          <w:szCs w:val="21"/>
        </w:rPr>
      </w:pPr>
      <w:bookmarkStart w:id="337" w:name="_Toc989269"/>
      <w:r>
        <w:rPr>
          <w:rFonts w:ascii="宋体" w:eastAsia="宋体" w:hAnsi="宋体" w:cs="宋体"/>
          <w:b/>
          <w:bCs/>
          <w:szCs w:val="21"/>
        </w:rPr>
        <w:t>（1） 所得税费用表</w:t>
      </w:r>
      <w:bookmarkEnd w:id="33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8,986,571.73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2,662,744.50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2,540,602.37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-8,577,368.14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-5,914,623.64</w:t>
            </w:r>
          </w:p>
        </w:tc>
      </w:tr>
    </w:tbl>
    <w:p w:rsidR="00037019" w:rsidRDefault="00BE788E">
      <w:pPr>
        <w:keepNext/>
        <w:keepLines/>
        <w:spacing w:before="300" w:after="300" w:line="280" w:lineRule="exact"/>
        <w:outlineLvl w:val="3"/>
        <w:rPr>
          <w:rFonts w:ascii="宋体" w:eastAsia="宋体" w:hAnsi="宋体" w:cs="宋体"/>
          <w:b/>
          <w:bCs/>
          <w:szCs w:val="21"/>
        </w:rPr>
      </w:pPr>
      <w:bookmarkStart w:id="338" w:name="_Toc989270"/>
      <w:r>
        <w:rPr>
          <w:rFonts w:ascii="宋体" w:eastAsia="宋体" w:hAnsi="宋体" w:cs="宋体"/>
          <w:b/>
          <w:bCs/>
          <w:szCs w:val="21"/>
        </w:rPr>
        <w:t>（2） 会计利润与所得税费用调整过程</w:t>
      </w:r>
      <w:bookmarkEnd w:id="338"/>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利润总额</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66,761,294.16</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按法定/适用税率计算的所得税费用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10,014,194.12</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子公司适用不同税率的影响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-3,061,442.67</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调整以前期间所得税的影响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3,158,638.51</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不可抵扣的成本、费用和损失的影响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552,632.94</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使用前期未确认递延所得税资产的可抵扣亏损的影响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157,291.50</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本期未</w:t>
            </w:r>
            <w:proofErr w:type="gramEnd"/>
            <w:r>
              <w:rPr>
                <w:rFonts w:ascii="宋体" w:eastAsia="宋体" w:hAnsi="宋体" w:cs="宋体"/>
                <w:sz w:val="18"/>
                <w:szCs w:val="18"/>
              </w:rPr>
              <w:t>确认递延所得税资产的可抵扣暂时性差异或可抵扣亏损的影响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7,862,975.70</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归属于合营企业和联营企业的损益（非应税收入）</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-701,504.88</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研发费用加计扣除</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-6,455,611.12</w:t>
            </w:r>
          </w:p>
        </w:tc>
      </w:tr>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11,527,174.10</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ascii="宋体" w:eastAsia="宋体" w:hAnsi="宋体" w:cs="宋体" w:hint="eastAsia"/>
          <w:sz w:val="18"/>
          <w:szCs w:val="18"/>
        </w:rPr>
        <w:t>：</w:t>
      </w:r>
      <w:r w:rsidR="00382FC5">
        <w:rPr>
          <w:rFonts w:hint="eastAsia"/>
          <w:sz w:val="18"/>
          <w:szCs w:val="18"/>
        </w:rPr>
        <w:t>无</w:t>
      </w:r>
    </w:p>
    <w:p w:rsidR="00037019" w:rsidRDefault="00BE788E">
      <w:pPr>
        <w:pStyle w:val="3"/>
        <w:spacing w:line="280" w:lineRule="exact"/>
        <w:jc w:val="left"/>
        <w:rPr>
          <w:rFonts w:ascii="宋体" w:hAnsi="宋体" w:cs="宋体"/>
          <w:b/>
          <w:bCs/>
        </w:rPr>
      </w:pPr>
      <w:bookmarkStart w:id="339" w:name="_Toc989271"/>
      <w:r>
        <w:rPr>
          <w:rFonts w:ascii="宋体" w:hAnsi="宋体" w:cs="宋体"/>
          <w:b/>
          <w:bCs/>
        </w:rPr>
        <w:t>77、其他综合收益</w:t>
      </w:r>
      <w:bookmarkEnd w:id="339"/>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详见附注57</w:t>
      </w:r>
    </w:p>
    <w:p w:rsidR="00037019" w:rsidRDefault="00BE788E">
      <w:pPr>
        <w:pStyle w:val="3"/>
        <w:spacing w:line="280" w:lineRule="exact"/>
        <w:jc w:val="left"/>
        <w:rPr>
          <w:rFonts w:ascii="宋体" w:hAnsi="宋体" w:cs="宋体"/>
          <w:b/>
          <w:bCs/>
        </w:rPr>
      </w:pPr>
      <w:bookmarkStart w:id="340" w:name="_Toc989272"/>
      <w:r>
        <w:rPr>
          <w:rFonts w:ascii="宋体" w:hAnsi="宋体" w:cs="宋体"/>
          <w:b/>
          <w:bCs/>
        </w:rPr>
        <w:t>78、现金流量表项目</w:t>
      </w:r>
      <w:bookmarkEnd w:id="340"/>
    </w:p>
    <w:p w:rsidR="00037019" w:rsidRDefault="00BE788E">
      <w:pPr>
        <w:keepNext/>
        <w:keepLines/>
        <w:spacing w:before="300" w:after="300" w:line="280" w:lineRule="exact"/>
        <w:outlineLvl w:val="3"/>
        <w:rPr>
          <w:rFonts w:ascii="宋体" w:eastAsia="宋体" w:hAnsi="宋体" w:cs="宋体"/>
          <w:b/>
          <w:bCs/>
          <w:szCs w:val="21"/>
        </w:rPr>
      </w:pPr>
      <w:bookmarkStart w:id="341" w:name="_Toc989273"/>
      <w:r>
        <w:rPr>
          <w:rFonts w:ascii="宋体" w:eastAsia="宋体" w:hAnsi="宋体" w:cs="宋体"/>
          <w:b/>
          <w:bCs/>
          <w:szCs w:val="21"/>
        </w:rPr>
        <w:t>（1） 与经营活动有关的现金</w:t>
      </w:r>
      <w:bookmarkEnd w:id="34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8,464,181.30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11,643,416.01</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140,521,078.74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143,274,729.68</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412,061,383.84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376,979,934.10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561,046,643.88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531,898,079.79</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收到的其他与经营活动有关的现金说明：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39,860,756.32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36,885,888.56</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623,130,587.74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558,774,742.28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662,991,344.06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595,660,630.84</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42" w:name="_Toc989274"/>
      <w:r>
        <w:rPr>
          <w:rFonts w:ascii="宋体" w:eastAsia="宋体" w:hAnsi="宋体" w:cs="宋体"/>
          <w:b/>
          <w:bCs/>
          <w:szCs w:val="21"/>
        </w:rPr>
        <w:t>（2） 与投资活动有关的现金</w:t>
      </w:r>
      <w:bookmarkEnd w:id="34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722,075,949.89</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105,908,364.32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827,984,314.21</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446,509,000.00</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期货及其他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115,591,036.98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562,100,036.98</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43" w:name="_Toc989275"/>
      <w:r>
        <w:rPr>
          <w:rFonts w:ascii="宋体" w:eastAsia="宋体" w:hAnsi="宋体" w:cs="宋体"/>
          <w:b/>
          <w:bCs/>
          <w:szCs w:val="21"/>
        </w:rPr>
        <w:t>（3） 与筹资活动有关的现金</w:t>
      </w:r>
      <w:bookmarkEnd w:id="34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19,918,769.82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166,977,948.39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19,918,769.82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166,977,948.39</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受限的其他货币资金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1,709,477,177.54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1,366,305,526.87</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回购公司股票</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100,033,114.48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153,096,733.44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1,809,510,292.02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1,519,402,260.31</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支付的其他与筹资活动有关的现金说明：</w:t>
      </w:r>
      <w:r w:rsidR="00382FC5">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筹资活动产生的各项负债变动情况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344" w:name="_Toc989276"/>
      <w:r>
        <w:rPr>
          <w:rFonts w:ascii="宋体" w:eastAsia="宋体" w:hAnsi="宋体" w:cs="宋体"/>
          <w:b/>
          <w:bCs/>
          <w:szCs w:val="21"/>
        </w:rPr>
        <w:lastRenderedPageBreak/>
        <w:t>（4） 以净额列报现金流量的说明</w:t>
      </w:r>
      <w:bookmarkEnd w:id="344"/>
    </w:p>
    <w:p w:rsidR="00037019" w:rsidRDefault="00BE788E">
      <w:pPr>
        <w:keepNext/>
        <w:keepLines/>
        <w:spacing w:before="300" w:after="300" w:line="280" w:lineRule="exact"/>
        <w:outlineLvl w:val="3"/>
        <w:rPr>
          <w:rFonts w:ascii="宋体" w:eastAsia="宋体" w:hAnsi="宋体" w:cs="宋体"/>
          <w:b/>
          <w:bCs/>
          <w:szCs w:val="21"/>
        </w:rPr>
      </w:pPr>
      <w:bookmarkStart w:id="345" w:name="_Toc989277"/>
      <w:r>
        <w:rPr>
          <w:rFonts w:ascii="宋体" w:eastAsia="宋体" w:hAnsi="宋体" w:cs="宋体"/>
          <w:b/>
          <w:bCs/>
          <w:szCs w:val="21"/>
        </w:rPr>
        <w:t>（5） 不涉及当期现金收支、但影响企业财务状况或在未来可能影响企业现金流量的重大活动及财务影响</w:t>
      </w:r>
      <w:bookmarkEnd w:id="345"/>
    </w:p>
    <w:p w:rsidR="00BE788E" w:rsidRDefault="00BE788E">
      <w:pPr>
        <w:pStyle w:val="a3"/>
        <w:divId w:val="142549192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46" w:name="_Toc989278"/>
      <w:r>
        <w:rPr>
          <w:rFonts w:ascii="宋体" w:hAnsi="宋体" w:cs="宋体"/>
          <w:b/>
          <w:bCs/>
        </w:rPr>
        <w:t>79、现金流量表补充资料</w:t>
      </w:r>
      <w:bookmarkEnd w:id="346"/>
    </w:p>
    <w:p w:rsidR="00037019" w:rsidRDefault="00BE788E">
      <w:pPr>
        <w:keepNext/>
        <w:keepLines/>
        <w:spacing w:before="300" w:after="300" w:line="280" w:lineRule="exact"/>
        <w:outlineLvl w:val="3"/>
        <w:rPr>
          <w:rFonts w:ascii="宋体" w:eastAsia="宋体" w:hAnsi="宋体" w:cs="宋体"/>
          <w:b/>
          <w:bCs/>
          <w:szCs w:val="21"/>
        </w:rPr>
      </w:pPr>
      <w:bookmarkStart w:id="347" w:name="_Toc989279"/>
      <w:r>
        <w:rPr>
          <w:rFonts w:ascii="宋体" w:eastAsia="宋体" w:hAnsi="宋体" w:cs="宋体"/>
          <w:b/>
          <w:bCs/>
          <w:szCs w:val="21"/>
        </w:rPr>
        <w:t>（1） 现金流量表补充资料</w:t>
      </w:r>
      <w:bookmarkEnd w:id="34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补充资料</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上期金额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1．将净利润调节为经营活动现金流量：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55,234,120.06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72,290,194.15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-739,314.32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-23,594,510.49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固定资产折旧、油气资产折耗、生产性生物资产折旧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263,602,934.68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254,205,647.15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使用权资产折旧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4,410,341.90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4,119,683.93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11,284,321.06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11,289,669.09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8,467,120.20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10,871,938.18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处置固定资产、无形资产和其他长期资产的损失（收益以“－”号填列）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-163,412.51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固定资产报废损失（收益以“－”号填列）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6,680.59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19,759.79</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-3,293,560.92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-11,622,111.18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124,098,342.82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53,316,134.70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-23,457,818.12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62,478,441.82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递延所得税资产减少（增加以“－”号填列）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-2,369,241.21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18,479,798.72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递延所得税负债增加（减少以“－”号填列）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4,913,828.03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-3,202,903.56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存货的减少（增加以“－”号填列）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1,299,406,693.02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2,145,391,825.55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经营性应收项目的减少（增加以“－”号填列）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-634,737,167.55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-973,509,665.68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经营性应付项目的增加（减少以“－”号填列）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-11,371,661.12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-50,306,946.21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-45,341,984.33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1,093,172,214.63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1,524,721,559.12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2．不涉及现金收支的重大投资和筹资活动：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债务转为资本</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一年内到期的可转换公司债</w:t>
            </w:r>
            <w:proofErr w:type="gramStart"/>
            <w:r>
              <w:rPr>
                <w:rFonts w:ascii="宋体" w:eastAsia="宋体" w:hAnsi="宋体" w:cs="宋体"/>
                <w:sz w:val="18"/>
                <w:szCs w:val="18"/>
              </w:rPr>
              <w:t>券</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融资租入固定资产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3．现金及现金等价物净变动情况：</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2,234,988,516.88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加：现金等价物的期末余额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减：现金等价物的期初余额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-569,010,967.38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393,169,963.30</w:t>
            </w:r>
          </w:p>
        </w:tc>
      </w:tr>
    </w:tbl>
    <w:p w:rsidR="00037019" w:rsidRDefault="00BE788E">
      <w:pPr>
        <w:keepNext/>
        <w:keepLines/>
        <w:spacing w:before="300" w:after="300" w:line="280" w:lineRule="exact"/>
        <w:outlineLvl w:val="3"/>
        <w:rPr>
          <w:rFonts w:ascii="宋体" w:eastAsia="宋体" w:hAnsi="宋体" w:cs="宋体"/>
          <w:b/>
          <w:bCs/>
          <w:szCs w:val="21"/>
        </w:rPr>
      </w:pPr>
      <w:bookmarkStart w:id="348" w:name="_Toc989280"/>
      <w:r>
        <w:rPr>
          <w:rFonts w:ascii="宋体" w:eastAsia="宋体" w:hAnsi="宋体" w:cs="宋体"/>
          <w:b/>
          <w:bCs/>
          <w:szCs w:val="21"/>
        </w:rPr>
        <w:t>（2） 本期支付的取得子公司的现金净额</w:t>
      </w:r>
      <w:bookmarkEnd w:id="348"/>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49" w:name="_Toc989281"/>
      <w:r>
        <w:rPr>
          <w:rFonts w:ascii="宋体" w:eastAsia="宋体" w:hAnsi="宋体" w:cs="宋体"/>
          <w:b/>
          <w:bCs/>
          <w:szCs w:val="21"/>
        </w:rPr>
        <w:t>（3） 本期收到的处置子公司的现金净额</w:t>
      </w:r>
      <w:bookmarkEnd w:id="34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481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本期处置子公司于本期收到的现金或现金等价物</w:t>
            </w:r>
          </w:p>
        </w:tc>
        <w:tc>
          <w:tcPr>
            <w:tcW w:w="481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2,601,000.00</w:t>
            </w:r>
          </w:p>
        </w:tc>
      </w:tr>
      <w:tr w:rsidR="00037019" w:rsidTr="00382FC5">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处置子公司收到的现金净额</w:t>
            </w:r>
          </w:p>
        </w:tc>
        <w:tc>
          <w:tcPr>
            <w:tcW w:w="481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2,601,000.00</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50" w:name="_Toc989282"/>
      <w:r>
        <w:rPr>
          <w:rFonts w:ascii="宋体" w:eastAsia="宋体" w:hAnsi="宋体" w:cs="宋体"/>
          <w:b/>
          <w:bCs/>
          <w:szCs w:val="21"/>
        </w:rPr>
        <w:t>（4） 现金和现金等价物的构成</w:t>
      </w:r>
      <w:bookmarkEnd w:id="35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1,512,065.48</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70,994.31</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1,394,708,080.32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1,837,036,749.85</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218,649,444.32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346,772,813.34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三、期末现金及现金等价物余额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1,614,869,590.12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2,183,880,557.50</w:t>
            </w:r>
          </w:p>
        </w:tc>
      </w:tr>
    </w:tbl>
    <w:p w:rsidR="00037019" w:rsidRDefault="00BE788E">
      <w:pPr>
        <w:keepNext/>
        <w:keepLines/>
        <w:spacing w:before="300" w:after="300" w:line="280" w:lineRule="exact"/>
        <w:outlineLvl w:val="3"/>
        <w:rPr>
          <w:rFonts w:ascii="宋体" w:eastAsia="宋体" w:hAnsi="宋体" w:cs="宋体"/>
          <w:b/>
          <w:bCs/>
          <w:szCs w:val="21"/>
        </w:rPr>
      </w:pPr>
      <w:bookmarkStart w:id="351" w:name="_Toc989283"/>
      <w:r>
        <w:rPr>
          <w:rFonts w:ascii="宋体" w:eastAsia="宋体" w:hAnsi="宋体" w:cs="宋体"/>
          <w:b/>
          <w:bCs/>
          <w:szCs w:val="21"/>
        </w:rPr>
        <w:t>（5） 使用范围受限但仍属于现金及现金等价物列示的情况</w:t>
      </w:r>
      <w:bookmarkEnd w:id="351"/>
    </w:p>
    <w:p w:rsidR="00037019" w:rsidRDefault="00BE788E">
      <w:pPr>
        <w:keepNext/>
        <w:keepLines/>
        <w:spacing w:before="300" w:after="300" w:line="280" w:lineRule="exact"/>
        <w:outlineLvl w:val="3"/>
        <w:rPr>
          <w:rFonts w:ascii="宋体" w:eastAsia="宋体" w:hAnsi="宋体" w:cs="宋体"/>
          <w:b/>
          <w:bCs/>
          <w:szCs w:val="21"/>
        </w:rPr>
      </w:pPr>
      <w:bookmarkStart w:id="352" w:name="_Toc989284"/>
      <w:r>
        <w:rPr>
          <w:rFonts w:ascii="宋体" w:eastAsia="宋体" w:hAnsi="宋体" w:cs="宋体"/>
          <w:b/>
          <w:bCs/>
          <w:szCs w:val="21"/>
        </w:rPr>
        <w:t>（6） 不属于现金及现金等价物的货币资金</w:t>
      </w:r>
      <w:bookmarkEnd w:id="352"/>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53" w:name="_Toc989285"/>
      <w:r>
        <w:rPr>
          <w:rFonts w:ascii="宋体" w:eastAsia="宋体" w:hAnsi="宋体" w:cs="宋体"/>
          <w:b/>
          <w:bCs/>
          <w:szCs w:val="21"/>
        </w:rPr>
        <w:t>（7） 其他重大活动说明</w:t>
      </w:r>
      <w:bookmarkEnd w:id="353"/>
    </w:p>
    <w:p w:rsidR="00037019" w:rsidRDefault="00BE788E">
      <w:pPr>
        <w:pStyle w:val="3"/>
        <w:spacing w:line="280" w:lineRule="exact"/>
        <w:jc w:val="left"/>
        <w:rPr>
          <w:rFonts w:ascii="宋体" w:hAnsi="宋体" w:cs="宋体"/>
          <w:b/>
          <w:bCs/>
        </w:rPr>
      </w:pPr>
      <w:bookmarkStart w:id="354" w:name="_Toc989286"/>
      <w:r>
        <w:rPr>
          <w:rFonts w:ascii="宋体" w:hAnsi="宋体" w:cs="宋体"/>
          <w:b/>
          <w:bCs/>
        </w:rPr>
        <w:t>80、所有者权益变动</w:t>
      </w:r>
      <w:proofErr w:type="gramStart"/>
      <w:r>
        <w:rPr>
          <w:rFonts w:ascii="宋体" w:hAnsi="宋体" w:cs="宋体"/>
          <w:b/>
          <w:bCs/>
        </w:rPr>
        <w:t>表项目</w:t>
      </w:r>
      <w:proofErr w:type="gramEnd"/>
      <w:r>
        <w:rPr>
          <w:rFonts w:ascii="宋体" w:hAnsi="宋体" w:cs="宋体"/>
          <w:b/>
          <w:bCs/>
        </w:rPr>
        <w:t>注释</w:t>
      </w:r>
      <w:bookmarkEnd w:id="354"/>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说明对上年年末余额进行调整的“其他”项目名称及调整金额等事项：</w:t>
      </w:r>
      <w:r w:rsidR="00382FC5">
        <w:rPr>
          <w:rFonts w:hint="eastAsia"/>
          <w:sz w:val="18"/>
          <w:szCs w:val="18"/>
        </w:rPr>
        <w:t>无</w:t>
      </w:r>
    </w:p>
    <w:p w:rsidR="00037019" w:rsidRDefault="00BE788E">
      <w:pPr>
        <w:pStyle w:val="3"/>
        <w:spacing w:line="280" w:lineRule="exact"/>
        <w:jc w:val="left"/>
        <w:rPr>
          <w:rFonts w:ascii="宋体" w:hAnsi="宋体" w:cs="宋体"/>
          <w:b/>
          <w:bCs/>
        </w:rPr>
      </w:pPr>
      <w:bookmarkStart w:id="355" w:name="_Toc989287"/>
      <w:r>
        <w:rPr>
          <w:rFonts w:ascii="宋体" w:hAnsi="宋体" w:cs="宋体"/>
          <w:b/>
          <w:bCs/>
        </w:rPr>
        <w:lastRenderedPageBreak/>
        <w:t>81、外币货币性项目</w:t>
      </w:r>
      <w:bookmarkEnd w:id="355"/>
    </w:p>
    <w:p w:rsidR="00037019" w:rsidRDefault="00BE788E">
      <w:pPr>
        <w:keepNext/>
        <w:keepLines/>
        <w:spacing w:before="300" w:after="300" w:line="280" w:lineRule="exact"/>
        <w:outlineLvl w:val="3"/>
        <w:rPr>
          <w:rFonts w:ascii="宋体" w:eastAsia="宋体" w:hAnsi="宋体" w:cs="宋体"/>
          <w:b/>
          <w:bCs/>
          <w:szCs w:val="21"/>
        </w:rPr>
      </w:pPr>
      <w:bookmarkStart w:id="356" w:name="_Toc989288"/>
      <w:r>
        <w:rPr>
          <w:rFonts w:ascii="宋体" w:eastAsia="宋体" w:hAnsi="宋体" w:cs="宋体"/>
          <w:b/>
          <w:bCs/>
          <w:szCs w:val="21"/>
        </w:rPr>
        <w:t>（1） 外币货币性项目</w:t>
      </w:r>
      <w:bookmarkEnd w:id="35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期末折算人民币余额</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22,198,696.02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158,205,666.80</w:t>
            </w:r>
          </w:p>
        </w:tc>
      </w:tr>
      <w:tr w:rsidR="00037019" w:rsidRPr="00382FC5" w:rsidTr="00382FC5">
        <w:trPr>
          <w:trHeight w:val="89"/>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82FC5">
            <w:pPr>
              <w:spacing w:line="240" w:lineRule="exact"/>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6,394.04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7.66170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48,989.22</w:t>
            </w:r>
          </w:p>
        </w:tc>
      </w:tr>
      <w:tr w:rsidR="00037019" w:rsidRPr="00382FC5" w:rsidTr="00382FC5">
        <w:trPr>
          <w:trHeight w:val="75"/>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82FC5">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6,045,446.76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5,517,558.35</w:t>
            </w:r>
          </w:p>
        </w:tc>
      </w:tr>
      <w:tr w:rsidR="00037019" w:rsidTr="00382FC5">
        <w:trPr>
          <w:trHeight w:val="75"/>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113,122,551,292.00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31,668,537.70</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140,970.00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0.00519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731.44</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87.50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0.19516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17.08</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印度尼西亚卢比</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0.00044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1.32</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0.14838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7.42</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0.21873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0.44</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34,931.05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5.27900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184,401.01</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巴基斯坦卢比</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14,200.00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 0.02559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rsidP="00382FC5">
            <w:pPr>
              <w:spacing w:line="240" w:lineRule="exact"/>
              <w:jc w:val="right"/>
              <w:rPr>
                <w:rFonts w:ascii="宋体" w:eastAsia="宋体" w:hAnsi="宋体" w:cs="宋体"/>
                <w:sz w:val="18"/>
                <w:szCs w:val="18"/>
              </w:rPr>
            </w:pPr>
            <w:r>
              <w:rPr>
                <w:rFonts w:ascii="宋体" w:eastAsia="宋体" w:hAnsi="宋体" w:cs="宋体"/>
                <w:sz w:val="18"/>
                <w:szCs w:val="18"/>
              </w:rPr>
              <w:t>363.44</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20,757,897.74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147,937,385.61</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35,124,454.04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32,057,386.71</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 xml:space="preserve"> </w:t>
            </w:r>
            <w:r>
              <w:rPr>
                <w:rFonts w:ascii="宋体" w:eastAsia="宋体" w:hAnsi="宋体" w:cs="宋体" w:hint="eastAsia"/>
                <w:sz w:val="18"/>
                <w:szCs w:val="18"/>
              </w:rPr>
              <w:t xml:space="preserve">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3,010,014,247,336.29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842,650,281.37</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66,047,875.09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470,709,996.19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389,323,492.52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355,327,765.15</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85,896,833,990.00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24,046,727.15</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5,154,520.92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36,735,239.69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485,000,000,000.00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135,775,233.23</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28,487,612.70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203,025,518.19</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 xml:space="preserve"> 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142,136,313,303.00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39,790,909.46</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69,072,335.15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7.12680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492,264,718.15</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Pr>
                <w:rFonts w:ascii="宋体" w:eastAsia="宋体" w:hAnsi="宋体" w:cs="宋体" w:hint="eastAsia"/>
                <w:sz w:val="18"/>
                <w:szCs w:val="18"/>
              </w:rPr>
              <w:t xml:space="preserve">  </w:t>
            </w:r>
            <w:r w:rsidR="00BE788E">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162,190,625.22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0.91268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148,028,139.83</w:t>
            </w:r>
          </w:p>
        </w:tc>
      </w:tr>
      <w:tr w:rsidR="00037019" w:rsidTr="00382FC5">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382FC5">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1,074,193,737,448.00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0.00028</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300,719,392.24</w:t>
            </w: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57" w:name="_Toc989289"/>
      <w:r>
        <w:rPr>
          <w:rFonts w:ascii="宋体" w:eastAsia="宋体" w:hAnsi="宋体" w:cs="宋体"/>
          <w:b/>
          <w:bCs/>
          <w:szCs w:val="21"/>
        </w:rPr>
        <w:t>（2） 境外经营实体说明，包括对于重要的境外经营实体，应披露其境外主要经营地、记账本位币及选择依据，记账本位币发生变化的还应披露原因。</w:t>
      </w:r>
      <w:bookmarkEnd w:id="35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58" w:name="_Toc989290"/>
      <w:r>
        <w:rPr>
          <w:rFonts w:ascii="宋体" w:hAnsi="宋体" w:cs="宋体"/>
          <w:b/>
          <w:bCs/>
        </w:rPr>
        <w:lastRenderedPageBreak/>
        <w:t>82、租赁</w:t>
      </w:r>
      <w:bookmarkEnd w:id="358"/>
    </w:p>
    <w:p w:rsidR="00037019" w:rsidRDefault="00BE788E">
      <w:pPr>
        <w:keepNext/>
        <w:keepLines/>
        <w:spacing w:before="300" w:after="300" w:line="280" w:lineRule="exact"/>
        <w:outlineLvl w:val="3"/>
        <w:rPr>
          <w:rFonts w:ascii="宋体" w:eastAsia="宋体" w:hAnsi="宋体" w:cs="宋体"/>
          <w:b/>
          <w:bCs/>
          <w:szCs w:val="21"/>
        </w:rPr>
      </w:pPr>
      <w:bookmarkStart w:id="359" w:name="_Toc989291"/>
      <w:r>
        <w:rPr>
          <w:rFonts w:ascii="宋体" w:eastAsia="宋体" w:hAnsi="宋体" w:cs="宋体"/>
          <w:b/>
          <w:bCs/>
          <w:szCs w:val="21"/>
        </w:rPr>
        <w:t>（1） 本公司作为承租方</w:t>
      </w:r>
      <w:bookmarkEnd w:id="35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未纳入租赁负债计量的可变租赁付款额</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简化处理的短期租赁或低价值资产的租赁费用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涉及售后租回交易的情况</w:t>
      </w:r>
      <w:r w:rsidR="00382FC5">
        <w:rPr>
          <w:rFonts w:ascii="宋体" w:eastAsia="宋体" w:hAnsi="宋体" w:cs="宋体" w:hint="eastAsia"/>
          <w:sz w:val="18"/>
          <w:szCs w:val="18"/>
        </w:rPr>
        <w:t>：</w:t>
      </w:r>
      <w:r w:rsidR="00382FC5">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60" w:name="_Toc989292"/>
      <w:r>
        <w:rPr>
          <w:rFonts w:ascii="宋体" w:eastAsia="宋体" w:hAnsi="宋体" w:cs="宋体"/>
          <w:b/>
          <w:bCs/>
          <w:szCs w:val="21"/>
        </w:rPr>
        <w:t>（2） 本公司作为出租方</w:t>
      </w:r>
      <w:bookmarkEnd w:id="360"/>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作为出租人的经营租赁</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租赁收入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其中：未计入</w:t>
            </w:r>
            <w:proofErr w:type="gramStart"/>
            <w:r>
              <w:rPr>
                <w:rFonts w:ascii="宋体" w:eastAsia="宋体" w:hAnsi="宋体" w:cs="宋体"/>
                <w:sz w:val="18"/>
                <w:szCs w:val="18"/>
              </w:rPr>
              <w:t>租赁收</w:t>
            </w:r>
            <w:proofErr w:type="gramEnd"/>
            <w:r>
              <w:rPr>
                <w:rFonts w:ascii="宋体" w:eastAsia="宋体" w:hAnsi="宋体" w:cs="宋体"/>
                <w:sz w:val="18"/>
                <w:szCs w:val="18"/>
              </w:rPr>
              <w:t>款额的可变租赁付款</w:t>
            </w:r>
            <w:proofErr w:type="gramStart"/>
            <w:r>
              <w:rPr>
                <w:rFonts w:ascii="宋体" w:eastAsia="宋体" w:hAnsi="宋体" w:cs="宋体"/>
                <w:sz w:val="18"/>
                <w:szCs w:val="18"/>
              </w:rPr>
              <w:t>额相关</w:t>
            </w:r>
            <w:proofErr w:type="gramEnd"/>
            <w:r>
              <w:rPr>
                <w:rFonts w:ascii="宋体" w:eastAsia="宋体" w:hAnsi="宋体" w:cs="宋体"/>
                <w:sz w:val="18"/>
                <w:szCs w:val="18"/>
              </w:rPr>
              <w:t>的收入</w:t>
            </w:r>
          </w:p>
        </w:tc>
      </w:tr>
      <w:tr w:rsidR="00037019" w:rsidTr="00382FC5">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厂房出租</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17,564,675.50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作为出租人的融资租赁</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未来五年每年未折现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款额与租赁投资净额的调节表</w:t>
      </w:r>
      <w:r w:rsidR="00382FC5">
        <w:rPr>
          <w:rFonts w:ascii="宋体" w:eastAsia="宋体" w:hAnsi="宋体" w:cs="宋体" w:hint="eastAsia"/>
          <w:sz w:val="18"/>
          <w:szCs w:val="18"/>
        </w:rPr>
        <w:t>：</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61" w:name="_Toc989293"/>
      <w:r>
        <w:rPr>
          <w:rFonts w:ascii="宋体" w:eastAsia="宋体" w:hAnsi="宋体" w:cs="宋体"/>
          <w:b/>
          <w:bCs/>
          <w:szCs w:val="21"/>
        </w:rPr>
        <w:t>（3） 作为生产商或经销商确认融资租赁销售损益</w:t>
      </w:r>
      <w:bookmarkEnd w:id="36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62" w:name="_Toc989294"/>
      <w:r>
        <w:rPr>
          <w:rFonts w:ascii="宋体" w:hAnsi="宋体" w:cs="宋体"/>
          <w:b/>
          <w:bCs/>
        </w:rPr>
        <w:t>83、数据资源</w:t>
      </w:r>
      <w:bookmarkEnd w:id="362"/>
    </w:p>
    <w:p w:rsidR="00BE788E" w:rsidRDefault="00BE788E">
      <w:pPr>
        <w:pStyle w:val="a3"/>
        <w:divId w:val="153688966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363" w:name="_Toc989295"/>
      <w:r>
        <w:rPr>
          <w:rFonts w:ascii="宋体" w:hAnsi="宋体" w:cs="宋体"/>
          <w:b/>
          <w:bCs/>
        </w:rPr>
        <w:t>84、其他</w:t>
      </w:r>
      <w:bookmarkEnd w:id="363"/>
    </w:p>
    <w:p w:rsidR="00037019" w:rsidRDefault="00BE788E">
      <w:pPr>
        <w:pStyle w:val="2"/>
        <w:spacing w:before="300" w:after="300" w:line="320" w:lineRule="exact"/>
        <w:rPr>
          <w:rFonts w:ascii="宋体" w:eastAsia="宋体" w:hAnsi="宋体" w:cs="宋体"/>
          <w:b/>
          <w:bCs/>
          <w:sz w:val="24"/>
          <w:szCs w:val="24"/>
        </w:rPr>
      </w:pPr>
      <w:bookmarkStart w:id="364" w:name="_Toc989296"/>
      <w:r>
        <w:rPr>
          <w:rFonts w:ascii="宋体" w:eastAsia="宋体" w:hAnsi="宋体" w:cs="宋体"/>
          <w:b/>
          <w:bCs/>
          <w:sz w:val="24"/>
          <w:szCs w:val="24"/>
        </w:rPr>
        <w:t>八、研发支出</w:t>
      </w:r>
      <w:bookmarkEnd w:id="364"/>
    </w:p>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65" w:name="_Toc989299"/>
      <w:r>
        <w:rPr>
          <w:rFonts w:ascii="宋体" w:eastAsia="宋体" w:hAnsi="宋体" w:cs="宋体"/>
          <w:b/>
          <w:bCs/>
          <w:sz w:val="24"/>
          <w:szCs w:val="24"/>
        </w:rPr>
        <w:t>九、合并范围的变更</w:t>
      </w:r>
      <w:bookmarkEnd w:id="365"/>
    </w:p>
    <w:p w:rsidR="00382FC5" w:rsidRPr="00382FC5" w:rsidRDefault="00382FC5"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382FC5">
      <w:pPr>
        <w:pStyle w:val="3"/>
        <w:spacing w:line="280" w:lineRule="exact"/>
        <w:jc w:val="left"/>
        <w:rPr>
          <w:rFonts w:ascii="宋体" w:hAnsi="宋体" w:cs="宋体"/>
          <w:b/>
          <w:bCs/>
        </w:rPr>
      </w:pPr>
      <w:bookmarkStart w:id="366" w:name="_Toc989312"/>
      <w:r>
        <w:rPr>
          <w:rFonts w:ascii="宋体" w:hAnsi="宋体" w:cs="宋体" w:hint="eastAsia"/>
          <w:b/>
          <w:bCs/>
        </w:rPr>
        <w:lastRenderedPageBreak/>
        <w:t>1</w:t>
      </w:r>
      <w:r w:rsidR="00BE788E">
        <w:rPr>
          <w:rFonts w:ascii="宋体" w:hAnsi="宋体" w:cs="宋体"/>
          <w:b/>
          <w:bCs/>
        </w:rPr>
        <w:t>、处置子公司</w:t>
      </w:r>
      <w:bookmarkEnd w:id="366"/>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本期是否存在丧失子公司控制权的交易或事项</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37019">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丧失控制权时点的判断依据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处置价款与处置投资对应的合并财务报表层面享有该子公司净资产份额的差额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丧失控制权之日合并财务报表层面剩余股权的账面价值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丧失控制权之日合并财务报表层面剩余股权的公允价值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按照公允价值重新计量剩余股权产生的利得或损失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丧失控制权之日合并财务报表层面剩余股权公允价值的确定方法及主要假设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与原子公司股权投资相关的其他综合收益转入投资损益或留存收益的金额</w:t>
            </w:r>
          </w:p>
        </w:tc>
      </w:tr>
      <w:tr w:rsidR="00037019">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5,100,000.00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2024年04月30日</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122,455.54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BE788E" w:rsidRPr="00382FC5" w:rsidRDefault="00BE788E" w:rsidP="00382FC5">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是否存在通过多次交易分步处置对子公司投资且在本期丧失控制权的情形</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37019" w:rsidRDefault="00BE788E">
      <w:pPr>
        <w:pStyle w:val="3"/>
        <w:spacing w:line="280" w:lineRule="exact"/>
        <w:jc w:val="left"/>
        <w:rPr>
          <w:rFonts w:ascii="宋体" w:hAnsi="宋体" w:cs="宋体"/>
          <w:b/>
          <w:bCs/>
        </w:rPr>
      </w:pPr>
      <w:bookmarkStart w:id="367" w:name="_Toc989313"/>
      <w:r>
        <w:rPr>
          <w:rFonts w:ascii="宋体" w:hAnsi="宋体" w:cs="宋体"/>
          <w:b/>
          <w:bCs/>
        </w:rPr>
        <w:t>5、其他原因的合并范围变动</w:t>
      </w:r>
      <w:bookmarkEnd w:id="36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说明其他原因导致的合并范围变动（如，新设子公司、清算子公司等）及其相关情况：</w:t>
      </w:r>
    </w:p>
    <w:tbl>
      <w:tblPr>
        <w:tblW w:w="9513" w:type="dxa"/>
        <w:tblLayout w:type="fixed"/>
        <w:tblCellMar>
          <w:left w:w="0" w:type="dxa"/>
          <w:right w:w="0" w:type="dxa"/>
        </w:tblCellMar>
        <w:tblLook w:val="04A0" w:firstRow="1" w:lastRow="0" w:firstColumn="1" w:lastColumn="0" w:noHBand="0" w:noVBand="1"/>
      </w:tblPr>
      <w:tblGrid>
        <w:gridCol w:w="4756"/>
        <w:gridCol w:w="4757"/>
      </w:tblGrid>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A57714">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名称</w:t>
            </w:r>
          </w:p>
        </w:tc>
        <w:tc>
          <w:tcPr>
            <w:tcW w:w="4757"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A57714">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变更原因</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华孚智算（上海）网络有限公司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新疆华孚人工智能科技有限公司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绍兴</w:t>
            </w:r>
            <w:proofErr w:type="gramStart"/>
            <w:r w:rsidRPr="00382FC5">
              <w:rPr>
                <w:rFonts w:ascii="宋体" w:eastAsia="宋体" w:hAnsi="宋体" w:cs="宋体" w:hint="eastAsia"/>
                <w:sz w:val="18"/>
                <w:szCs w:val="18"/>
              </w:rPr>
              <w:t>智宽科技</w:t>
            </w:r>
            <w:proofErr w:type="gramEnd"/>
            <w:r w:rsidRPr="00382FC5">
              <w:rPr>
                <w:rFonts w:ascii="宋体" w:eastAsia="宋体" w:hAnsi="宋体" w:cs="宋体" w:hint="eastAsia"/>
                <w:sz w:val="18"/>
                <w:szCs w:val="18"/>
              </w:rPr>
              <w:t>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新疆华孚智算科技有限公司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绍兴</w:t>
            </w:r>
            <w:proofErr w:type="gramStart"/>
            <w:r w:rsidRPr="00382FC5">
              <w:rPr>
                <w:rFonts w:ascii="宋体" w:eastAsia="宋体" w:hAnsi="宋体" w:cs="宋体" w:hint="eastAsia"/>
                <w:sz w:val="18"/>
                <w:szCs w:val="18"/>
              </w:rPr>
              <w:t>华孚智算科技</w:t>
            </w:r>
            <w:proofErr w:type="gramEnd"/>
            <w:r w:rsidRPr="00382FC5">
              <w:rPr>
                <w:rFonts w:ascii="宋体" w:eastAsia="宋体" w:hAnsi="宋体" w:cs="宋体" w:hint="eastAsia"/>
                <w:sz w:val="18"/>
                <w:szCs w:val="18"/>
              </w:rPr>
              <w:t>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喀什</w:t>
            </w:r>
            <w:proofErr w:type="gramStart"/>
            <w:r w:rsidRPr="00382FC5">
              <w:rPr>
                <w:rFonts w:ascii="宋体" w:eastAsia="宋体" w:hAnsi="宋体" w:cs="宋体" w:hint="eastAsia"/>
                <w:sz w:val="18"/>
                <w:szCs w:val="18"/>
              </w:rPr>
              <w:t>暄</w:t>
            </w:r>
            <w:proofErr w:type="gramEnd"/>
            <w:r w:rsidRPr="00382FC5">
              <w:rPr>
                <w:rFonts w:ascii="宋体" w:eastAsia="宋体" w:hAnsi="宋体" w:cs="宋体" w:hint="eastAsia"/>
                <w:sz w:val="18"/>
                <w:szCs w:val="18"/>
              </w:rPr>
              <w:t>纺棉花有限公司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新设</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阿瓦提华</w:t>
            </w:r>
            <w:proofErr w:type="gramStart"/>
            <w:r w:rsidRPr="00382FC5">
              <w:rPr>
                <w:rFonts w:ascii="宋体" w:eastAsia="宋体" w:hAnsi="宋体" w:cs="宋体" w:hint="eastAsia"/>
                <w:sz w:val="18"/>
                <w:szCs w:val="18"/>
              </w:rPr>
              <w:t>孚</w:t>
            </w:r>
            <w:proofErr w:type="gramEnd"/>
            <w:r w:rsidRPr="00382FC5">
              <w:rPr>
                <w:rFonts w:ascii="宋体" w:eastAsia="宋体" w:hAnsi="宋体" w:cs="宋体" w:hint="eastAsia"/>
                <w:sz w:val="18"/>
                <w:szCs w:val="18"/>
              </w:rPr>
              <w:t>纺织有限公司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浙江缙云华孚纺织有限公司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余姚华</w:t>
            </w:r>
            <w:proofErr w:type="gramStart"/>
            <w:r w:rsidRPr="00382FC5">
              <w:rPr>
                <w:rFonts w:ascii="宋体" w:eastAsia="宋体" w:hAnsi="宋体" w:cs="宋体" w:hint="eastAsia"/>
                <w:sz w:val="18"/>
                <w:szCs w:val="18"/>
              </w:rPr>
              <w:t>孚</w:t>
            </w:r>
            <w:proofErr w:type="gramEnd"/>
            <w:r w:rsidRPr="00382FC5">
              <w:rPr>
                <w:rFonts w:ascii="宋体" w:eastAsia="宋体" w:hAnsi="宋体" w:cs="宋体" w:hint="eastAsia"/>
                <w:sz w:val="18"/>
                <w:szCs w:val="18"/>
              </w:rPr>
              <w:t>纺织有限公司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r w:rsidR="00BE788E" w:rsidTr="00A57714">
        <w:trPr>
          <w:divId w:val="1454053199"/>
          <w:trHeight w:val="55"/>
        </w:trPr>
        <w:tc>
          <w:tcPr>
            <w:tcW w:w="4756"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382FC5" w:rsidRDefault="00BE788E" w:rsidP="00382FC5">
            <w:pPr>
              <w:spacing w:line="240" w:lineRule="exact"/>
              <w:rPr>
                <w:rFonts w:ascii="宋体" w:eastAsia="宋体" w:hAnsi="宋体" w:cs="宋体"/>
                <w:sz w:val="18"/>
                <w:szCs w:val="18"/>
              </w:rPr>
            </w:pPr>
            <w:r w:rsidRPr="00382FC5">
              <w:rPr>
                <w:rFonts w:ascii="宋体" w:eastAsia="宋体" w:hAnsi="宋体" w:cs="宋体" w:hint="eastAsia"/>
                <w:sz w:val="18"/>
                <w:szCs w:val="18"/>
              </w:rPr>
              <w:t>浙江服人网络科技有限公司</w:t>
            </w:r>
          </w:p>
        </w:tc>
        <w:tc>
          <w:tcPr>
            <w:tcW w:w="475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382FC5" w:rsidRDefault="00BE788E" w:rsidP="00382FC5">
            <w:pPr>
              <w:spacing w:line="240" w:lineRule="exact"/>
              <w:jc w:val="center"/>
              <w:rPr>
                <w:rFonts w:ascii="宋体" w:eastAsia="宋体" w:hAnsi="宋体" w:cs="宋体"/>
                <w:sz w:val="18"/>
                <w:szCs w:val="18"/>
              </w:rPr>
            </w:pPr>
            <w:r w:rsidRPr="00382FC5">
              <w:rPr>
                <w:rFonts w:ascii="宋体" w:eastAsia="宋体" w:hAnsi="宋体" w:cs="宋体" w:hint="eastAsia"/>
                <w:sz w:val="18"/>
                <w:szCs w:val="18"/>
              </w:rPr>
              <w:t>注销</w:t>
            </w:r>
          </w:p>
        </w:tc>
      </w:tr>
    </w:tbl>
    <w:p w:rsidR="00037019" w:rsidRDefault="00BE788E">
      <w:pPr>
        <w:pStyle w:val="2"/>
        <w:spacing w:before="300" w:after="300" w:line="320" w:lineRule="exact"/>
        <w:rPr>
          <w:rFonts w:ascii="宋体" w:eastAsia="宋体" w:hAnsi="宋体" w:cs="宋体"/>
          <w:b/>
          <w:bCs/>
          <w:sz w:val="24"/>
          <w:szCs w:val="24"/>
        </w:rPr>
      </w:pPr>
      <w:bookmarkStart w:id="368" w:name="_Toc989315"/>
      <w:r>
        <w:rPr>
          <w:rFonts w:ascii="宋体" w:eastAsia="宋体" w:hAnsi="宋体" w:cs="宋体"/>
          <w:b/>
          <w:bCs/>
          <w:sz w:val="24"/>
          <w:szCs w:val="24"/>
        </w:rPr>
        <w:lastRenderedPageBreak/>
        <w:t>十、在其他主体中的权益</w:t>
      </w:r>
      <w:bookmarkEnd w:id="368"/>
    </w:p>
    <w:p w:rsidR="00037019" w:rsidRDefault="00BE788E">
      <w:pPr>
        <w:pStyle w:val="3"/>
        <w:spacing w:line="280" w:lineRule="exact"/>
        <w:jc w:val="left"/>
        <w:rPr>
          <w:rFonts w:ascii="宋体" w:hAnsi="宋体" w:cs="宋体"/>
          <w:b/>
          <w:bCs/>
        </w:rPr>
      </w:pPr>
      <w:bookmarkStart w:id="369" w:name="_Toc989316"/>
      <w:r>
        <w:rPr>
          <w:rFonts w:ascii="宋体" w:hAnsi="宋体" w:cs="宋体"/>
          <w:b/>
          <w:bCs/>
        </w:rPr>
        <w:t>1、在子公司中的权益</w:t>
      </w:r>
      <w:bookmarkEnd w:id="369"/>
    </w:p>
    <w:p w:rsidR="00037019" w:rsidRDefault="00BE788E">
      <w:pPr>
        <w:keepNext/>
        <w:keepLines/>
        <w:spacing w:before="300" w:after="300" w:line="280" w:lineRule="exact"/>
        <w:outlineLvl w:val="3"/>
        <w:rPr>
          <w:rFonts w:ascii="宋体" w:eastAsia="宋体" w:hAnsi="宋体" w:cs="宋体"/>
          <w:b/>
          <w:bCs/>
          <w:sz w:val="18"/>
          <w:szCs w:val="18"/>
        </w:rPr>
      </w:pPr>
      <w:bookmarkStart w:id="370" w:name="_Toc989317"/>
      <w:r>
        <w:rPr>
          <w:rFonts w:ascii="宋体" w:eastAsia="宋体" w:hAnsi="宋体" w:cs="宋体"/>
          <w:b/>
          <w:bCs/>
          <w:sz w:val="18"/>
          <w:szCs w:val="18"/>
        </w:rPr>
        <w:t>（1） 企业集团的构成</w:t>
      </w:r>
      <w:bookmarkEnd w:id="37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37019">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取得方式</w:t>
            </w:r>
          </w:p>
        </w:tc>
      </w:tr>
      <w:tr w:rsidR="00037019">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887,849,696.34</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1,035,330,795.97</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88,200,000.00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4,722,789.00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宁海华孚纺织有限公司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193,757,749.00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620,560,889.03</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绍</w:t>
            </w:r>
            <w:proofErr w:type="gramEnd"/>
            <w:r>
              <w:rPr>
                <w:rFonts w:ascii="宋体" w:eastAsia="宋体" w:hAnsi="宋体" w:cs="宋体"/>
                <w:sz w:val="18"/>
                <w:szCs w:val="18"/>
              </w:rPr>
              <w:t>省兴市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石河子标配纤维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浙江昇孚贸易有限公司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49,497,897.00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九江中</w:t>
            </w:r>
            <w:proofErr w:type="gramStart"/>
            <w:r>
              <w:rPr>
                <w:rFonts w:ascii="宋体" w:eastAsia="宋体" w:hAnsi="宋体" w:cs="宋体"/>
                <w:sz w:val="18"/>
                <w:szCs w:val="18"/>
              </w:rPr>
              <w:t>浩</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65,808,000.00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平湖市华孚金瓶纺织有限公司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上海华孚色纺贸易有限</w:t>
            </w:r>
            <w:r>
              <w:rPr>
                <w:rFonts w:ascii="宋体" w:eastAsia="宋体" w:hAnsi="宋体" w:cs="宋体"/>
                <w:sz w:val="18"/>
                <w:szCs w:val="18"/>
              </w:rPr>
              <w:lastRenderedPageBreak/>
              <w:t>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阿克苏华孚色纺有限公司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2,634,516,140.00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新疆华孚算网科技有限公司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338,250,000.00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新疆天宏新</w:t>
            </w:r>
            <w:proofErr w:type="gramStart"/>
            <w:r>
              <w:rPr>
                <w:rFonts w:ascii="宋体" w:eastAsia="宋体" w:hAnsi="宋体" w:cs="宋体"/>
                <w:sz w:val="18"/>
                <w:szCs w:val="18"/>
              </w:rPr>
              <w:t>八棉产业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48,710,000.00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光</w:t>
            </w:r>
            <w:proofErr w:type="gramStart"/>
            <w:r>
              <w:rPr>
                <w:rFonts w:ascii="宋体" w:eastAsia="宋体" w:hAnsi="宋体" w:cs="宋体"/>
                <w:sz w:val="18"/>
                <w:szCs w:val="18"/>
              </w:rPr>
              <w:t>伏销售</w:t>
            </w:r>
            <w:proofErr w:type="gramEnd"/>
            <w:r>
              <w:rPr>
                <w:rFonts w:ascii="宋体" w:eastAsia="宋体" w:hAnsi="宋体" w:cs="宋体"/>
                <w:sz w:val="18"/>
                <w:szCs w:val="18"/>
              </w:rPr>
              <w:t>及技术服务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7,960,000.00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浙江聚丰贸易有限公司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浙江维新贸易有限公司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浙江恒孚贸易有限公司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70.40%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物流运输业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40.80%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淮北华孚供应链管理有限公司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阿克苏华孚科技有限公司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上海清澄时尚生活用品有限公司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浙江阿大互联科技有限公司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45,472,700.00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新疆阿大数字科技产业园有限公司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浙江昊载科技有限公司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诸暨中</w:t>
            </w:r>
            <w:proofErr w:type="gramStart"/>
            <w:r>
              <w:rPr>
                <w:rFonts w:ascii="宋体" w:eastAsia="宋体" w:hAnsi="宋体" w:cs="宋体"/>
                <w:sz w:val="18"/>
                <w:szCs w:val="18"/>
              </w:rPr>
              <w:t>昊</w:t>
            </w:r>
            <w:proofErr w:type="gramEnd"/>
            <w:r>
              <w:rPr>
                <w:rFonts w:ascii="宋体" w:eastAsia="宋体" w:hAnsi="宋体" w:cs="宋体"/>
                <w:sz w:val="18"/>
                <w:szCs w:val="18"/>
              </w:rPr>
              <w:t>投资管理有限公司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诸暨市承影电子商务有限公司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市渊虹</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软件开发</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51.96%</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8,345,295.00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诸暨市龙渊电子商务有限公司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诸暨市湛</w:t>
            </w:r>
            <w:proofErr w:type="gramStart"/>
            <w:r>
              <w:rPr>
                <w:rFonts w:ascii="宋体" w:eastAsia="宋体" w:hAnsi="宋体" w:cs="宋体"/>
                <w:sz w:val="18"/>
                <w:szCs w:val="18"/>
              </w:rPr>
              <w:t>泸</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赤</w:t>
            </w:r>
            <w:proofErr w:type="gramEnd"/>
            <w:r>
              <w:rPr>
                <w:rFonts w:ascii="宋体" w:eastAsia="宋体" w:hAnsi="宋体" w:cs="宋体"/>
                <w:sz w:val="18"/>
                <w:szCs w:val="18"/>
              </w:rPr>
              <w:t>霄电子商务有限公司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诸暨市新亭电子商务有限公司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市纯钧</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诸暨市雪霁电子商务有限公司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市胜跃纺织</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一</w:t>
            </w:r>
            <w:proofErr w:type="gramEnd"/>
            <w:r>
              <w:rPr>
                <w:rFonts w:ascii="宋体" w:eastAsia="宋体" w:hAnsi="宋体" w:cs="宋体"/>
                <w:sz w:val="18"/>
                <w:szCs w:val="18"/>
              </w:rPr>
              <w:t>酷服饰有限公司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浙江昊驰信息咨询有限公司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浙江昊创贸易有限公司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浙江广孚色纺有限公司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58.67%</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英职业技能培训学校有限公司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淮北中新纺织有限公司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高可续（上海）棉花有限公司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230,343,900.00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设计</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浙江果实纺织科技有限公司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新疆华孚宏丰农业开发有限公司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40,920,000.00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浙江达米安</w:t>
            </w:r>
            <w:r>
              <w:rPr>
                <w:rFonts w:ascii="宋体" w:eastAsia="宋体" w:hAnsi="宋体" w:cs="宋体"/>
                <w:sz w:val="18"/>
                <w:szCs w:val="18"/>
              </w:rPr>
              <w:lastRenderedPageBreak/>
              <w:t>品牌管理有限公司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10,000,000</w:t>
            </w:r>
            <w:r>
              <w:rPr>
                <w:rFonts w:ascii="宋体" w:eastAsia="宋体" w:hAnsi="宋体" w:cs="宋体"/>
                <w:sz w:val="18"/>
                <w:szCs w:val="18"/>
              </w:rPr>
              <w:lastRenderedPageBreak/>
              <w:t>.00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浙江省诸暨</w:t>
            </w:r>
            <w:r>
              <w:rPr>
                <w:rFonts w:ascii="宋体" w:eastAsia="宋体" w:hAnsi="宋体" w:cs="宋体"/>
                <w:sz w:val="18"/>
                <w:szCs w:val="18"/>
              </w:rPr>
              <w:lastRenderedPageBreak/>
              <w:t>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浙江省诸暨</w:t>
            </w:r>
            <w:r>
              <w:rPr>
                <w:rFonts w:ascii="宋体" w:eastAsia="宋体" w:hAnsi="宋体" w:cs="宋体"/>
                <w:sz w:val="18"/>
                <w:szCs w:val="18"/>
              </w:rPr>
              <w:lastRenderedPageBreak/>
              <w:t>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品牌管理</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平湖市科新贸易有限公司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华孚智算（上海）网络有限公司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上海市普陀区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上海市普陀区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专业技术服务业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新疆华孚人工智能科技有限公司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w:t>
            </w:r>
            <w:proofErr w:type="gramStart"/>
            <w:r>
              <w:rPr>
                <w:rFonts w:ascii="宋体" w:eastAsia="宋体" w:hAnsi="宋体" w:cs="宋体"/>
                <w:sz w:val="18"/>
                <w:szCs w:val="18"/>
              </w:rPr>
              <w:t>智宽科技</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新疆华孚智算科技有限公司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研究和试验发展</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w:t>
            </w:r>
            <w:proofErr w:type="gramStart"/>
            <w:r>
              <w:rPr>
                <w:rFonts w:ascii="宋体" w:eastAsia="宋体" w:hAnsi="宋体" w:cs="宋体"/>
                <w:sz w:val="18"/>
                <w:szCs w:val="18"/>
              </w:rPr>
              <w:t>华孚智算科技</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专业技术服务业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r w:rsidR="00037019">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喀什</w:t>
            </w:r>
            <w:proofErr w:type="gramStart"/>
            <w:r>
              <w:rPr>
                <w:rFonts w:ascii="宋体" w:eastAsia="宋体" w:hAnsi="宋体" w:cs="宋体"/>
                <w:sz w:val="18"/>
                <w:szCs w:val="18"/>
              </w:rPr>
              <w:t>暄</w:t>
            </w:r>
            <w:proofErr w:type="gramEnd"/>
            <w:r>
              <w:rPr>
                <w:rFonts w:ascii="宋体" w:eastAsia="宋体" w:hAnsi="宋体" w:cs="宋体"/>
                <w:sz w:val="18"/>
                <w:szCs w:val="18"/>
              </w:rPr>
              <w:t>纺棉花有限公司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14,150,000.00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投资设立</w:t>
            </w:r>
          </w:p>
        </w:tc>
      </w:tr>
    </w:tbl>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在子公司的持股比例不同于表决权比例的说明：</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持有半数或以下表决权但仍控制被投资单位、以及持有半数以上表决权但不控制被投资单位的依据：</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对于纳入合并范围的重要的结构化主体，控制的依据：</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确定公司是代理人还是委托人的依据：</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71" w:name="_Toc989318"/>
      <w:r>
        <w:rPr>
          <w:rFonts w:ascii="宋体" w:eastAsia="宋体" w:hAnsi="宋体" w:cs="宋体"/>
          <w:b/>
          <w:bCs/>
          <w:sz w:val="18"/>
          <w:szCs w:val="18"/>
        </w:rPr>
        <w:t>（2） 重要的非全资子公司</w:t>
      </w:r>
      <w:bookmarkEnd w:id="37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期末少数股东权益余额</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E860B2">
            <w:pPr>
              <w:spacing w:line="240" w:lineRule="exact"/>
              <w:rPr>
                <w:rFonts w:ascii="宋体" w:eastAsia="宋体" w:hAnsi="宋体" w:cs="宋体"/>
                <w:sz w:val="18"/>
                <w:szCs w:val="18"/>
              </w:rPr>
            </w:pPr>
            <w:r w:rsidRPr="00E860B2">
              <w:rPr>
                <w:rFonts w:ascii="宋体" w:eastAsia="宋体" w:hAnsi="宋体" w:cs="宋体" w:hint="eastAsia"/>
                <w:sz w:val="18"/>
                <w:szCs w:val="18"/>
              </w:rPr>
              <w:t>浙江阿大互联科技有限公司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35.05%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1,850,178.68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111,938,942.49</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862,150.43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10,902,652.50</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982,336.94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2,205,495.48</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108,315.82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64,411,356.31</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-947,826.19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19,372,146.26</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59.20%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3,738,092.64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77,215,897.02</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-732,681.47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18,858,869.79</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327,772.95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1,752,914.20</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-119,936.28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-3,328,343.70</w:t>
            </w:r>
          </w:p>
        </w:tc>
      </w:tr>
      <w:tr w:rsidR="00037019" w:rsidTr="00A57714">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-295,182.79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82,661.11</w:t>
            </w:r>
          </w:p>
        </w:tc>
      </w:tr>
    </w:tbl>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子公司少数股东的持股比例不同于表决权比例的说明：</w:t>
      </w:r>
      <w:r w:rsidR="00A57714">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72" w:name="_Toc989319"/>
      <w:r>
        <w:rPr>
          <w:rFonts w:ascii="宋体" w:eastAsia="宋体" w:hAnsi="宋体" w:cs="宋体"/>
          <w:b/>
          <w:bCs/>
          <w:sz w:val="18"/>
          <w:szCs w:val="18"/>
        </w:rPr>
        <w:t>（3） 重要非全资子公司的主要财务信息</w:t>
      </w:r>
      <w:bookmarkEnd w:id="37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037019">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E860B2">
            <w:pPr>
              <w:spacing w:line="240" w:lineRule="exact"/>
              <w:rPr>
                <w:rFonts w:ascii="宋体" w:eastAsia="宋体" w:hAnsi="宋体" w:cs="宋体"/>
                <w:sz w:val="18"/>
                <w:szCs w:val="18"/>
              </w:rPr>
            </w:pPr>
            <w:r w:rsidRPr="00E860B2">
              <w:rPr>
                <w:rFonts w:ascii="宋体" w:eastAsia="宋体" w:hAnsi="宋体" w:cs="宋体" w:hint="eastAsia"/>
                <w:sz w:val="18"/>
                <w:szCs w:val="18"/>
              </w:rPr>
              <w:t>浙江阿大互联科技有限公司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462,695,182.21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126,620,375.94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589,315,558.15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9,465,102.60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9,465,102.60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552,295,039.16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246,463,417.32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798,758,456.48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256,790,788.22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6,649,651.90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263,440,440.12</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18,329,086.01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14,757,709.93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33,086,795.94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10,836,484.72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10,836,484.72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14,188,580.27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14,919,937.75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29,108,518.02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8,617,697.47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8,617,697.47</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17,571,266.71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10,803,500.45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28,374,767.16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7,209,611.90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7,066,406.45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14,276,018.35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14,349,470.44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11,800,889.27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26,150,359.71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6,512,944.63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7,066,406.45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13,579,351.08</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125,411,172.14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292,827,532.23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418,238,704.37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286,786,956.77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286,786,956.77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130,172,358.30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281,338,169.39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411,510,527.69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280,279,832.79</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280,279,832.79</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213,165,344.35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6,435,085.72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219,600,430.07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152,400,062.70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152,400,062.70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264,668,726.60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6,438,863.73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271,107,590.33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200,705,107.46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200,705,107.46</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71,237,802.33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78,409,603.98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149,647,406.31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17,245,071.65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17,245,071.65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61,592,716.82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79,567,302.68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141,160,019.50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15,072,030.52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15,072,030.52</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w:t>
            </w:r>
            <w:r>
              <w:rPr>
                <w:rFonts w:ascii="宋体" w:eastAsia="宋体" w:hAnsi="宋体" w:cs="宋体"/>
                <w:sz w:val="18"/>
                <w:szCs w:val="18"/>
              </w:rPr>
              <w:lastRenderedPageBreak/>
              <w:t>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189,700,094.73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181,905,320.54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371,605,415.27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276,663,267.50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276,663,267.50</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199,123,715.76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157,379,060.16</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356,502,775.92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250,219,974.37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250,219,974.37</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4,394,753.71</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10,755.67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4,405,509.38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628,133.45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628,133.45</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409,851.98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409,851.98</w:t>
            </w:r>
          </w:p>
        </w:tc>
      </w:tr>
      <w:tr w:rsidR="00037019" w:rsidTr="00A57714">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40,616,286.14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5,217,525.14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45,833,811.28</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4,734,780.44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4,734,780.44</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40,694,435.62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151,196.92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46,062,735.02</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4,718,936.27</w:t>
            </w: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4,718,936.27</w:t>
            </w:r>
          </w:p>
        </w:tc>
      </w:tr>
    </w:tbl>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C34228">
            <w:pPr>
              <w:spacing w:line="240" w:lineRule="exact"/>
              <w:rPr>
                <w:rFonts w:ascii="宋体" w:eastAsia="宋体" w:hAnsi="宋体" w:cs="宋体"/>
                <w:sz w:val="18"/>
                <w:szCs w:val="18"/>
              </w:rPr>
            </w:pPr>
            <w:r w:rsidRPr="00C34228">
              <w:rPr>
                <w:rFonts w:ascii="宋体" w:eastAsia="宋体" w:hAnsi="宋体" w:cs="宋体" w:hint="eastAsia"/>
                <w:sz w:val="18"/>
                <w:szCs w:val="18"/>
              </w:rPr>
              <w:t>浙江阿大互联科技有限公司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7,221,516.14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-2,510,667.33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-2,510,667.33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-55,892,529.53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3,864,369.32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-997,014.42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-997,014.42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-8,861,631.29</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4,744,227.94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1,759,490.67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1,759,490.67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4,007,791.42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5,081,296.91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2,919,733.33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2,919,733.33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6,266,087.82</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3,098,577.30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1,527,740.18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1,527,740.18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2,801,749.21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2,851,296.77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-1,932,081.60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-1,932,081.60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2,839,393.45</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1,003,565.68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221,052.70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221,052.70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-8,350,008.85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-7,440,071.58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-19,832,342.50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-19,832,342.50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55,002,436.09</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672,186,379.99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-3,202,115.50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-3,202,115.50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-19,433,487.78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2,769,323,126.62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224,938.77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224,938.77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45,717,050.91</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17,059,801.18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6,314,345.68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6,314,345.68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6,117,641.29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12,993,555.83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1,874,890.10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1,874,890.10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-21,980,971.91</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172,936.57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-7,326,814.73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-13,299,624.24</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-2,681,665.46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-256,609.45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4,300,084.16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-30,466,831.77</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1,288,030.16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668,924.38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668,924.38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380,947.87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1,291,963.83</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678,742.82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678,742.82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-5,158.45</w:t>
            </w:r>
          </w:p>
        </w:tc>
      </w:tr>
      <w:tr w:rsidR="00037019" w:rsidTr="00A57714">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-244,767.91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-244,767.91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-67,593.78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73" w:name="_Toc989320"/>
      <w:r>
        <w:rPr>
          <w:rFonts w:ascii="宋体" w:eastAsia="宋体" w:hAnsi="宋体" w:cs="宋体"/>
          <w:b/>
          <w:bCs/>
          <w:sz w:val="18"/>
          <w:szCs w:val="18"/>
        </w:rPr>
        <w:t>（4） 使用企业集团资产和清偿企业集团债务的重大限制</w:t>
      </w:r>
      <w:bookmarkEnd w:id="373"/>
    </w:p>
    <w:p w:rsidR="00BE788E" w:rsidRDefault="00BE788E">
      <w:pPr>
        <w:pStyle w:val="a3"/>
        <w:divId w:val="1526208622"/>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74" w:name="_Toc989321"/>
      <w:r>
        <w:rPr>
          <w:rFonts w:ascii="宋体" w:eastAsia="宋体" w:hAnsi="宋体" w:cs="宋体"/>
          <w:b/>
          <w:bCs/>
          <w:sz w:val="18"/>
          <w:szCs w:val="18"/>
        </w:rPr>
        <w:lastRenderedPageBreak/>
        <w:t>（5） 向纳入合并财务报表范围的结构化主体提供的财务支持或其他支持</w:t>
      </w:r>
      <w:bookmarkEnd w:id="374"/>
    </w:p>
    <w:p w:rsidR="00BE788E" w:rsidRDefault="00BE788E">
      <w:pPr>
        <w:pStyle w:val="a3"/>
        <w:divId w:val="1084034901"/>
        <w:rPr>
          <w:sz w:val="18"/>
          <w:szCs w:val="18"/>
        </w:rPr>
      </w:pPr>
      <w:r>
        <w:rPr>
          <w:rFonts w:hint="eastAsia"/>
          <w:sz w:val="18"/>
          <w:szCs w:val="18"/>
        </w:rPr>
        <w:t>无。</w:t>
      </w:r>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375" w:name="_Toc989322"/>
      <w:r>
        <w:rPr>
          <w:rFonts w:ascii="宋体" w:hAnsi="宋体" w:cs="宋体"/>
          <w:b/>
          <w:bCs/>
        </w:rPr>
        <w:t>2、在子公司的所有者权益份额发生变化且仍控制子公司的交易</w:t>
      </w:r>
      <w:bookmarkEnd w:id="375"/>
    </w:p>
    <w:p w:rsidR="00037019" w:rsidRDefault="00BE788E">
      <w:pPr>
        <w:keepNext/>
        <w:keepLines/>
        <w:spacing w:before="300" w:after="300" w:line="280" w:lineRule="exact"/>
        <w:outlineLvl w:val="3"/>
        <w:rPr>
          <w:rFonts w:ascii="宋体" w:eastAsia="宋体" w:hAnsi="宋体" w:cs="宋体"/>
          <w:b/>
          <w:bCs/>
          <w:sz w:val="18"/>
          <w:szCs w:val="18"/>
        </w:rPr>
      </w:pPr>
      <w:bookmarkStart w:id="376" w:name="_Toc989323"/>
      <w:r>
        <w:rPr>
          <w:rFonts w:ascii="宋体" w:eastAsia="宋体" w:hAnsi="宋体" w:cs="宋体"/>
          <w:b/>
          <w:bCs/>
          <w:sz w:val="18"/>
          <w:szCs w:val="18"/>
        </w:rPr>
        <w:t>（1） 在子公司所有者权益份额发生变化的情况说明</w:t>
      </w:r>
      <w:bookmarkEnd w:id="376"/>
    </w:p>
    <w:p w:rsidR="00BE788E" w:rsidRDefault="00BE788E">
      <w:pPr>
        <w:pStyle w:val="a3"/>
        <w:divId w:val="577253426"/>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77" w:name="_Toc989324"/>
      <w:r>
        <w:rPr>
          <w:rFonts w:ascii="宋体" w:eastAsia="宋体" w:hAnsi="宋体" w:cs="宋体"/>
          <w:b/>
          <w:bCs/>
          <w:sz w:val="18"/>
          <w:szCs w:val="18"/>
        </w:rPr>
        <w:t>（2） 交易对于少数股东权益及归属于母公司所有者权益的影响</w:t>
      </w:r>
      <w:bookmarkEnd w:id="377"/>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378" w:name="_Toc989325"/>
      <w:r>
        <w:rPr>
          <w:rFonts w:ascii="宋体" w:hAnsi="宋体" w:cs="宋体"/>
          <w:b/>
          <w:bCs/>
        </w:rPr>
        <w:t>3、在合营安排或联营企业中的权益</w:t>
      </w:r>
      <w:bookmarkEnd w:id="378"/>
    </w:p>
    <w:p w:rsidR="00037019" w:rsidRDefault="00BE788E">
      <w:pPr>
        <w:keepNext/>
        <w:keepLines/>
        <w:spacing w:before="300" w:after="300" w:line="280" w:lineRule="exact"/>
        <w:outlineLvl w:val="3"/>
        <w:rPr>
          <w:rFonts w:ascii="宋体" w:eastAsia="宋体" w:hAnsi="宋体" w:cs="宋体"/>
          <w:b/>
          <w:bCs/>
          <w:szCs w:val="21"/>
        </w:rPr>
      </w:pPr>
      <w:bookmarkStart w:id="379" w:name="_Toc989326"/>
      <w:r>
        <w:rPr>
          <w:rFonts w:ascii="宋体" w:eastAsia="宋体" w:hAnsi="宋体" w:cs="宋体"/>
          <w:b/>
          <w:bCs/>
          <w:szCs w:val="21"/>
        </w:rPr>
        <w:t>（1） 重要的合营企业或联营企业</w:t>
      </w:r>
      <w:bookmarkEnd w:id="379"/>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合营企业或联营企业名称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对合营企业或联营企业投资的会计处理方法</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A5771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境内外</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纱线生产贸易</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17.30%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37019" w:rsidTr="00A5771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37019" w:rsidTr="00A57714">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园区管理及供应链</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权益法核算</w:t>
            </w:r>
          </w:p>
        </w:tc>
      </w:tr>
    </w:tbl>
    <w:p w:rsidR="00037019" w:rsidRDefault="00BE788E" w:rsidP="00A57714">
      <w:pPr>
        <w:rPr>
          <w:rFonts w:ascii="宋体" w:eastAsia="宋体" w:hAnsi="宋体" w:cs="宋体"/>
          <w:sz w:val="18"/>
          <w:szCs w:val="18"/>
        </w:rPr>
      </w:pPr>
      <w:r>
        <w:rPr>
          <w:rFonts w:ascii="宋体" w:eastAsia="宋体" w:hAnsi="宋体" w:cs="宋体"/>
          <w:sz w:val="18"/>
          <w:szCs w:val="18"/>
        </w:rPr>
        <w:t>在合营企业或联营企业的持股比例不同于表决权比例的说明：</w:t>
      </w:r>
    </w:p>
    <w:p w:rsidR="00037019" w:rsidRDefault="00BE788E" w:rsidP="00A57714">
      <w:pPr>
        <w:rPr>
          <w:rFonts w:ascii="宋体" w:eastAsia="宋体" w:hAnsi="宋体" w:cs="宋体"/>
          <w:sz w:val="18"/>
          <w:szCs w:val="18"/>
        </w:rPr>
      </w:pPr>
      <w:r>
        <w:rPr>
          <w:rFonts w:ascii="宋体" w:eastAsia="宋体" w:hAnsi="宋体" w:cs="宋体"/>
          <w:sz w:val="18"/>
          <w:szCs w:val="18"/>
        </w:rPr>
        <w:t>持有20%以下表决权但具有重大影响，或者持有20%或以上表决权但不具有重大影响的依据：</w:t>
      </w:r>
    </w:p>
    <w:p w:rsidR="00BE788E" w:rsidRDefault="00BE788E" w:rsidP="00A57714">
      <w:pPr>
        <w:pStyle w:val="a3"/>
        <w:spacing w:before="0" w:beforeAutospacing="0" w:after="0" w:afterAutospacing="0"/>
        <w:divId w:val="1432119529"/>
        <w:rPr>
          <w:sz w:val="18"/>
          <w:szCs w:val="18"/>
        </w:rPr>
      </w:pPr>
      <w:r>
        <w:rPr>
          <w:rFonts w:hint="eastAsia"/>
          <w:sz w:val="18"/>
          <w:szCs w:val="18"/>
        </w:rPr>
        <w:t>本公司子公司香港天成持有福田实业（集团）有限公司（以下简称福田实业，股票代码：</w:t>
      </w:r>
      <w:r>
        <w:rPr>
          <w:rFonts w:ascii="Times New Roman" w:hAnsi="Times New Roman" w:cs="Times New Roman"/>
          <w:sz w:val="18"/>
          <w:szCs w:val="18"/>
        </w:rPr>
        <w:t>HK0420</w:t>
      </w:r>
      <w:r>
        <w:rPr>
          <w:rFonts w:hint="eastAsia"/>
          <w:sz w:val="18"/>
          <w:szCs w:val="18"/>
        </w:rPr>
        <w:t>）</w:t>
      </w:r>
      <w:r>
        <w:rPr>
          <w:rFonts w:ascii="Times New Roman" w:hAnsi="Times New Roman" w:cs="Times New Roman"/>
          <w:sz w:val="18"/>
          <w:szCs w:val="18"/>
        </w:rPr>
        <w:t>17.30%</w:t>
      </w:r>
      <w:r>
        <w:rPr>
          <w:rFonts w:hint="eastAsia"/>
          <w:sz w:val="18"/>
          <w:szCs w:val="18"/>
        </w:rPr>
        <w:t>的股权及表决权。虽然该比例低于</w:t>
      </w:r>
      <w:r>
        <w:rPr>
          <w:rFonts w:ascii="Times New Roman" w:hAnsi="Times New Roman" w:cs="Times New Roman"/>
          <w:sz w:val="18"/>
          <w:szCs w:val="18"/>
        </w:rPr>
        <w:t>20%</w:t>
      </w:r>
      <w:r>
        <w:rPr>
          <w:rFonts w:hint="eastAsia"/>
          <w:sz w:val="18"/>
          <w:szCs w:val="18"/>
        </w:rPr>
        <w:t>，但由于本公司在福田实业董事会中派有代表并参与财务和经营政策的决策，所以本公司能够对福田实业施加重大影响。</w:t>
      </w:r>
    </w:p>
    <w:p w:rsidR="00037019" w:rsidRDefault="00BE788E">
      <w:pPr>
        <w:keepNext/>
        <w:keepLines/>
        <w:spacing w:before="300" w:after="300" w:line="280" w:lineRule="exact"/>
        <w:outlineLvl w:val="3"/>
        <w:rPr>
          <w:rFonts w:ascii="宋体" w:eastAsia="宋体" w:hAnsi="宋体" w:cs="宋体"/>
          <w:b/>
          <w:bCs/>
          <w:szCs w:val="21"/>
        </w:rPr>
      </w:pPr>
      <w:bookmarkStart w:id="380" w:name="_Toc989327"/>
      <w:r>
        <w:rPr>
          <w:rFonts w:ascii="宋体" w:eastAsia="宋体" w:hAnsi="宋体" w:cs="宋体"/>
          <w:b/>
          <w:bCs/>
          <w:szCs w:val="21"/>
        </w:rPr>
        <w:t>（2） 重要合营企业的主要财务信息</w:t>
      </w:r>
      <w:bookmarkEnd w:id="380"/>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81" w:name="_Toc989328"/>
      <w:r>
        <w:rPr>
          <w:rFonts w:ascii="宋体" w:eastAsia="宋体" w:hAnsi="宋体" w:cs="宋体"/>
          <w:b/>
          <w:bCs/>
          <w:szCs w:val="21"/>
        </w:rPr>
        <w:t>（3） 重要联营企业的主要财务信息</w:t>
      </w:r>
      <w:bookmarkEnd w:id="38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rsidTr="00A57714">
        <w:trPr>
          <w:cantSplit/>
          <w:trHeight w:val="240"/>
        </w:trPr>
        <w:tc>
          <w:tcPr>
            <w:tcW w:w="192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期初余额/上期发生额</w:t>
            </w:r>
          </w:p>
        </w:tc>
      </w:tr>
      <w:tr w:rsidR="00037019" w:rsidTr="00A57714">
        <w:trPr>
          <w:cantSplit/>
          <w:trHeight w:val="240"/>
        </w:trPr>
        <w:tc>
          <w:tcPr>
            <w:tcW w:w="192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43,736,559.85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133,832,581.01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47,415,975.74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100,123,998.46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40,118.02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12,035.40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47,197.66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资产合计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43,776,677.87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133,844,616.41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47,463,173.40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100,123,998.46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12,109.66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36,896,814.77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136,622.31</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12,109.66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36,896,814.77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136,622.31</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少数股东权益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归属于母公司股东权益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43,767,839.58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96,947,801.64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45,046,459.53</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99,987,376.15</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按持股比例计算的净资产份额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30,291,721.77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38,779,120.66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31,176,654.64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39,994,950.46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调整事项</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--商誉</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对联营企业权益投资的账面价值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30,291,721.77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38,779,120.66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39,994,950.46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存在公开报价的联营企业权益投资的公允价值</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107,677,643.96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27,963,606.60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241,679,258.52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117,618.45</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净利润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-1,278,619.95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-3,039,574.50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7,634.74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-102.16</w:t>
            </w: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终止经营的净利润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其他综合收益</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综合收益总额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A57714">
        <w:trPr>
          <w:cantSplit/>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本年度收到的来自联营企业的股利</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sz w:val="18"/>
          <w:szCs w:val="18"/>
        </w:rPr>
        <w:t>：</w:t>
      </w:r>
    </w:p>
    <w:p w:rsidR="00BE788E" w:rsidRDefault="00BE788E">
      <w:pPr>
        <w:pStyle w:val="a3"/>
        <w:divId w:val="1840659215"/>
        <w:rPr>
          <w:sz w:val="18"/>
          <w:szCs w:val="18"/>
        </w:rPr>
      </w:pPr>
      <w:r>
        <w:rPr>
          <w:rFonts w:hint="eastAsia"/>
          <w:sz w:val="18"/>
          <w:szCs w:val="18"/>
        </w:rPr>
        <w:t>联营企业福田实业(集团)有限公司（代码：HK0420）主要财务信息详见香港</w:t>
      </w:r>
      <w:r w:rsidR="00A57714">
        <w:rPr>
          <w:rFonts w:hint="eastAsia"/>
          <w:sz w:val="18"/>
          <w:szCs w:val="18"/>
        </w:rPr>
        <w:t>证券交易所</w:t>
      </w:r>
      <w:r>
        <w:rPr>
          <w:rFonts w:hint="eastAsia"/>
          <w:sz w:val="18"/>
          <w:szCs w:val="18"/>
        </w:rPr>
        <w:t>披露易：</w:t>
      </w:r>
      <w:r w:rsidRPr="00A57714">
        <w:rPr>
          <w:rFonts w:hint="eastAsia"/>
          <w:color w:val="000000"/>
          <w:sz w:val="18"/>
          <w:szCs w:val="18"/>
        </w:rPr>
        <w:t>https://www1.hkexnews.hk/listedco/listconews/sehk/2024/0823/2024082301813_c.pdf</w:t>
      </w:r>
    </w:p>
    <w:p w:rsidR="00037019" w:rsidRDefault="00BE788E">
      <w:pPr>
        <w:keepNext/>
        <w:keepLines/>
        <w:spacing w:before="300" w:after="300" w:line="280" w:lineRule="exact"/>
        <w:outlineLvl w:val="3"/>
        <w:rPr>
          <w:rFonts w:ascii="宋体" w:eastAsia="宋体" w:hAnsi="宋体" w:cs="宋体"/>
          <w:b/>
          <w:bCs/>
          <w:szCs w:val="21"/>
        </w:rPr>
      </w:pPr>
      <w:bookmarkStart w:id="382" w:name="_Toc989329"/>
      <w:r>
        <w:rPr>
          <w:rFonts w:ascii="宋体" w:eastAsia="宋体" w:hAnsi="宋体" w:cs="宋体"/>
          <w:b/>
          <w:bCs/>
          <w:szCs w:val="21"/>
        </w:rPr>
        <w:t>（4） 不重要的合营企业和联营企业的汇总财务信息</w:t>
      </w:r>
      <w:bookmarkEnd w:id="382"/>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83" w:name="_Toc989330"/>
      <w:r>
        <w:rPr>
          <w:rFonts w:ascii="宋体" w:eastAsia="宋体" w:hAnsi="宋体" w:cs="宋体"/>
          <w:b/>
          <w:bCs/>
          <w:szCs w:val="21"/>
        </w:rPr>
        <w:t>（5） 合营企业或联营企业向本公司转移资金的能力存在重大限制的说明</w:t>
      </w:r>
      <w:bookmarkEnd w:id="383"/>
    </w:p>
    <w:p w:rsidR="00BE788E" w:rsidRDefault="00A57714">
      <w:pPr>
        <w:pStyle w:val="a3"/>
        <w:divId w:val="2294282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84" w:name="_Toc989331"/>
      <w:r>
        <w:rPr>
          <w:rFonts w:ascii="宋体" w:eastAsia="宋体" w:hAnsi="宋体" w:cs="宋体"/>
          <w:b/>
          <w:bCs/>
          <w:szCs w:val="21"/>
        </w:rPr>
        <w:t>（6） 合营企业或联营企业发生的超额亏损</w:t>
      </w:r>
      <w:bookmarkEnd w:id="384"/>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85" w:name="_Toc989332"/>
      <w:r>
        <w:rPr>
          <w:rFonts w:ascii="宋体" w:eastAsia="宋体" w:hAnsi="宋体" w:cs="宋体"/>
          <w:b/>
          <w:bCs/>
          <w:szCs w:val="21"/>
        </w:rPr>
        <w:t>（7） 与合营企业投资相关的未确认承诺</w:t>
      </w:r>
      <w:bookmarkEnd w:id="385"/>
    </w:p>
    <w:p w:rsidR="00BE788E" w:rsidRDefault="00A57714">
      <w:pPr>
        <w:pStyle w:val="a3"/>
        <w:divId w:val="190337311"/>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386" w:name="_Toc989333"/>
      <w:r>
        <w:rPr>
          <w:rFonts w:ascii="宋体" w:eastAsia="宋体" w:hAnsi="宋体" w:cs="宋体"/>
          <w:b/>
          <w:bCs/>
          <w:szCs w:val="21"/>
        </w:rPr>
        <w:lastRenderedPageBreak/>
        <w:t>（8） 与合营企业或联营企业投资相关的或有负债</w:t>
      </w:r>
      <w:bookmarkEnd w:id="386"/>
    </w:p>
    <w:p w:rsidR="00BE788E" w:rsidRDefault="00A57714">
      <w:pPr>
        <w:pStyle w:val="a3"/>
        <w:divId w:val="848981188"/>
        <w:rPr>
          <w:sz w:val="18"/>
          <w:szCs w:val="18"/>
        </w:rPr>
      </w:pPr>
      <w:r>
        <w:rPr>
          <w:rFonts w:hint="eastAsia"/>
          <w:sz w:val="18"/>
          <w:szCs w:val="18"/>
        </w:rPr>
        <w:t>无</w:t>
      </w:r>
    </w:p>
    <w:p w:rsidR="00BE788E" w:rsidRDefault="00BE788E" w:rsidP="00A57714">
      <w:pPr>
        <w:pStyle w:val="3"/>
        <w:spacing w:line="280" w:lineRule="exact"/>
        <w:jc w:val="left"/>
        <w:rPr>
          <w:sz w:val="18"/>
          <w:szCs w:val="18"/>
        </w:rPr>
      </w:pPr>
      <w:bookmarkStart w:id="387" w:name="_Toc989334"/>
      <w:r>
        <w:rPr>
          <w:rFonts w:ascii="宋体" w:hAnsi="宋体" w:cs="宋体"/>
          <w:b/>
          <w:bCs/>
        </w:rPr>
        <w:t>4、重要的共同经营</w:t>
      </w:r>
      <w:bookmarkEnd w:id="387"/>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57714">
        <w:rPr>
          <w:rFonts w:ascii="宋体" w:eastAsia="宋体" w:hAnsi="宋体" w:cs="宋体" w:hint="eastAsia"/>
          <w:sz w:val="18"/>
          <w:szCs w:val="18"/>
        </w:rPr>
        <w:t>：</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388" w:name="_Toc989335"/>
      <w:r>
        <w:rPr>
          <w:rFonts w:ascii="宋体" w:hAnsi="宋体" w:cs="宋体"/>
          <w:b/>
          <w:bCs/>
        </w:rPr>
        <w:t>5、在未纳入合并财务报表范围的结构化主体中的权益</w:t>
      </w:r>
      <w:bookmarkEnd w:id="388"/>
    </w:p>
    <w:p w:rsidR="00BE788E" w:rsidRPr="00A57714" w:rsidRDefault="00BE788E" w:rsidP="00A57714">
      <w:pPr>
        <w:spacing w:before="100" w:after="100" w:line="240" w:lineRule="exact"/>
        <w:rPr>
          <w:rFonts w:ascii="宋体" w:eastAsia="宋体" w:hAnsi="宋体" w:cs="宋体"/>
          <w:sz w:val="18"/>
          <w:szCs w:val="18"/>
        </w:rPr>
      </w:pPr>
      <w:r>
        <w:rPr>
          <w:rFonts w:ascii="宋体" w:eastAsia="宋体" w:hAnsi="宋体" w:cs="宋体"/>
          <w:sz w:val="18"/>
          <w:szCs w:val="18"/>
        </w:rPr>
        <w:t>未纳入合并财务报表范围的结构化主体的相关说明：</w:t>
      </w:r>
      <w:r w:rsidR="00A57714">
        <w:rPr>
          <w:rFonts w:hint="eastAsia"/>
          <w:sz w:val="18"/>
          <w:szCs w:val="18"/>
        </w:rPr>
        <w:t>无</w:t>
      </w:r>
    </w:p>
    <w:p w:rsidR="00037019" w:rsidRDefault="00BE788E">
      <w:pPr>
        <w:pStyle w:val="3"/>
        <w:spacing w:line="280" w:lineRule="exact"/>
        <w:jc w:val="left"/>
        <w:rPr>
          <w:rFonts w:ascii="宋体" w:hAnsi="宋体" w:cs="宋体"/>
          <w:b/>
          <w:bCs/>
        </w:rPr>
      </w:pPr>
      <w:bookmarkStart w:id="389" w:name="_Toc989336"/>
      <w:r>
        <w:rPr>
          <w:rFonts w:ascii="宋体" w:hAnsi="宋体" w:cs="宋体"/>
          <w:b/>
          <w:bCs/>
        </w:rPr>
        <w:t>6、其他</w:t>
      </w:r>
      <w:bookmarkEnd w:id="389"/>
    </w:p>
    <w:p w:rsidR="00BE788E" w:rsidRDefault="00A57714">
      <w:pPr>
        <w:pStyle w:val="a3"/>
        <w:divId w:val="1462965501"/>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390" w:name="_Toc989337"/>
      <w:r>
        <w:rPr>
          <w:rFonts w:ascii="宋体" w:eastAsia="宋体" w:hAnsi="宋体" w:cs="宋体"/>
          <w:b/>
          <w:bCs/>
          <w:sz w:val="24"/>
          <w:szCs w:val="24"/>
        </w:rPr>
        <w:t>十一、政府补助</w:t>
      </w:r>
      <w:bookmarkEnd w:id="390"/>
    </w:p>
    <w:p w:rsidR="00037019" w:rsidRDefault="00BE788E">
      <w:pPr>
        <w:pStyle w:val="3"/>
        <w:spacing w:line="280" w:lineRule="exact"/>
        <w:jc w:val="left"/>
        <w:rPr>
          <w:rFonts w:ascii="宋体" w:hAnsi="宋体" w:cs="宋体"/>
          <w:b/>
          <w:bCs/>
        </w:rPr>
      </w:pPr>
      <w:bookmarkStart w:id="391" w:name="_Toc989338"/>
      <w:r>
        <w:rPr>
          <w:rFonts w:ascii="宋体" w:hAnsi="宋体" w:cs="宋体"/>
          <w:b/>
          <w:bCs/>
        </w:rPr>
        <w:t>1、报告期末按应收金额确认的政府补助</w:t>
      </w:r>
      <w:bookmarkEnd w:id="39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应收款项的期末余额：382,641,050.08元。</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未能在预计时点收到预计金额的政府补助的原因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392" w:name="_Toc989339"/>
      <w:r>
        <w:rPr>
          <w:rFonts w:ascii="宋体" w:hAnsi="宋体" w:cs="宋体"/>
          <w:b/>
          <w:bCs/>
        </w:rPr>
        <w:t>2、涉及政府补助的负债项目</w:t>
      </w:r>
      <w:bookmarkEnd w:id="39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1450"/>
        <w:gridCol w:w="960"/>
        <w:gridCol w:w="1417"/>
        <w:gridCol w:w="1418"/>
        <w:gridCol w:w="850"/>
        <w:gridCol w:w="1418"/>
        <w:gridCol w:w="1167"/>
      </w:tblGrid>
      <w:tr w:rsidR="00037019" w:rsidTr="00A57714">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14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96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本期新增补助金额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本期计入营业外收入金额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本期转入其他收益金额</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本期其他变动</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与资产/收益相关</w:t>
            </w:r>
          </w:p>
        </w:tc>
      </w:tr>
      <w:tr w:rsidR="00037019" w:rsidTr="00A57714">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递延收益</w:t>
            </w:r>
          </w:p>
        </w:tc>
        <w:tc>
          <w:tcPr>
            <w:tcW w:w="14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96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1,214,541.48</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34,411,774.98</w:t>
            </w:r>
          </w:p>
        </w:tc>
        <w:tc>
          <w:tcPr>
            <w:tcW w:w="116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与资产相关</w:t>
            </w:r>
          </w:p>
        </w:tc>
      </w:tr>
    </w:tbl>
    <w:p w:rsidR="00037019" w:rsidRDefault="00BE788E">
      <w:pPr>
        <w:pStyle w:val="3"/>
        <w:spacing w:line="280" w:lineRule="exact"/>
        <w:jc w:val="left"/>
        <w:rPr>
          <w:rFonts w:ascii="宋体" w:hAnsi="宋体" w:cs="宋体"/>
          <w:b/>
          <w:bCs/>
        </w:rPr>
      </w:pPr>
      <w:bookmarkStart w:id="393" w:name="_Toc989340"/>
      <w:r>
        <w:rPr>
          <w:rFonts w:ascii="宋体" w:hAnsi="宋体" w:cs="宋体"/>
          <w:b/>
          <w:bCs/>
        </w:rPr>
        <w:t>3、计入当期损益的政府补助</w:t>
      </w:r>
      <w:bookmarkEnd w:id="39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A57714">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C34228">
            <w:pPr>
              <w:spacing w:line="240" w:lineRule="exact"/>
              <w:jc w:val="right"/>
              <w:rPr>
                <w:rFonts w:ascii="宋体" w:eastAsia="宋体" w:hAnsi="宋体" w:cs="宋体"/>
                <w:sz w:val="18"/>
                <w:szCs w:val="18"/>
              </w:rPr>
            </w:pPr>
            <w:r w:rsidRPr="00C34228">
              <w:rPr>
                <w:rFonts w:ascii="宋体" w:eastAsia="宋体" w:hAnsi="宋体" w:cs="宋体"/>
                <w:sz w:val="18"/>
                <w:szCs w:val="18"/>
              </w:rPr>
              <w:t>41,764,407.62</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73,566,623.46</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BE788E" w:rsidRDefault="00BE788E" w:rsidP="00A57714">
      <w:pPr>
        <w:widowControl/>
        <w:spacing w:before="100" w:beforeAutospacing="1" w:after="100" w:afterAutospacing="1"/>
        <w:ind w:left="426"/>
        <w:divId w:val="371424788"/>
        <w:rPr>
          <w:sz w:val="18"/>
          <w:szCs w:val="18"/>
        </w:rPr>
      </w:pPr>
      <w:r>
        <w:rPr>
          <w:rFonts w:hint="eastAsia"/>
          <w:sz w:val="18"/>
          <w:szCs w:val="18"/>
        </w:rPr>
        <w:t>涉及政府补助的负债项目</w:t>
      </w:r>
    </w:p>
    <w:tbl>
      <w:tblPr>
        <w:tblW w:w="10547" w:type="dxa"/>
        <w:jc w:val="center"/>
        <w:tblInd w:w="488" w:type="dxa"/>
        <w:tblCellMar>
          <w:left w:w="0" w:type="dxa"/>
          <w:right w:w="0" w:type="dxa"/>
        </w:tblCellMar>
        <w:tblLook w:val="04A0" w:firstRow="1" w:lastRow="0" w:firstColumn="1" w:lastColumn="0" w:noHBand="0" w:noVBand="1"/>
      </w:tblPr>
      <w:tblGrid>
        <w:gridCol w:w="1418"/>
        <w:gridCol w:w="1560"/>
        <w:gridCol w:w="771"/>
        <w:gridCol w:w="1147"/>
        <w:gridCol w:w="1470"/>
        <w:gridCol w:w="967"/>
        <w:gridCol w:w="570"/>
        <w:gridCol w:w="1560"/>
        <w:gridCol w:w="1084"/>
      </w:tblGrid>
      <w:tr w:rsidR="00A57714" w:rsidRPr="00A57714" w:rsidTr="00A57714">
        <w:trPr>
          <w:divId w:val="371424788"/>
          <w:trHeight w:val="285"/>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负债项目</w:t>
            </w:r>
          </w:p>
        </w:tc>
        <w:tc>
          <w:tcPr>
            <w:tcW w:w="1560"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期初余额</w:t>
            </w:r>
          </w:p>
        </w:tc>
        <w:tc>
          <w:tcPr>
            <w:tcW w:w="771"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本期新增补助金额</w:t>
            </w:r>
          </w:p>
        </w:tc>
        <w:tc>
          <w:tcPr>
            <w:tcW w:w="1147"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本期计入营业外收入金额</w:t>
            </w:r>
          </w:p>
        </w:tc>
        <w:tc>
          <w:tcPr>
            <w:tcW w:w="1470" w:type="dxa"/>
            <w:tcBorders>
              <w:top w:val="single" w:sz="4" w:space="0" w:color="000000"/>
              <w:left w:val="single" w:sz="4" w:space="0" w:color="000000"/>
              <w:bottom w:val="single" w:sz="4" w:space="0" w:color="000000"/>
              <w:right w:val="single" w:sz="4" w:space="0" w:color="000000"/>
            </w:tcBorders>
            <w:shd w:val="clear" w:color="auto" w:fill="D3D3D3"/>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本期计入其他收益金额</w:t>
            </w:r>
          </w:p>
        </w:tc>
        <w:tc>
          <w:tcPr>
            <w:tcW w:w="967"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color w:val="000000"/>
                <w:sz w:val="18"/>
                <w:szCs w:val="18"/>
              </w:rPr>
              <w:t>本期冲减成本费用金额</w:t>
            </w:r>
          </w:p>
        </w:tc>
        <w:tc>
          <w:tcPr>
            <w:tcW w:w="570"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其他变动</w:t>
            </w:r>
          </w:p>
        </w:tc>
        <w:tc>
          <w:tcPr>
            <w:tcW w:w="1560"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期末余额</w:t>
            </w:r>
          </w:p>
        </w:tc>
        <w:tc>
          <w:tcPr>
            <w:tcW w:w="1084"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rsidP="00A57714">
            <w:pPr>
              <w:jc w:val="cente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与资产相关/与收益相关</w:t>
            </w:r>
          </w:p>
        </w:tc>
      </w:tr>
      <w:tr w:rsidR="00A57714" w:rsidRPr="00A57714" w:rsidTr="00A57714">
        <w:trPr>
          <w:divId w:val="371424788"/>
          <w:trHeight w:val="32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节能设备补贴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9,095,946.67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247,476.00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8,848,470.67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20"/>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lastRenderedPageBreak/>
              <w:t>新疆</w:t>
            </w:r>
            <w:proofErr w:type="gramStart"/>
            <w:r w:rsidRPr="00A57714">
              <w:rPr>
                <w:rFonts w:asciiTheme="minorEastAsia" w:hAnsiTheme="minorEastAsia" w:hint="eastAsia"/>
                <w:color w:val="000000"/>
                <w:sz w:val="18"/>
                <w:szCs w:val="18"/>
              </w:rPr>
              <w:t>六孚基础</w:t>
            </w:r>
            <w:proofErr w:type="gramEnd"/>
            <w:r w:rsidRPr="00A57714">
              <w:rPr>
                <w:rFonts w:asciiTheme="minorEastAsia" w:hAnsiTheme="minorEastAsia" w:hint="eastAsia"/>
                <w:color w:val="000000"/>
                <w:sz w:val="18"/>
                <w:szCs w:val="18"/>
              </w:rPr>
              <w:t>设施配套款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4,787,762.03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66,038.10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4,721,723.93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阿克苏华孚土地补贴款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5,014,664.48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66,713.95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4,900,252.18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阿克苏华孚产业技术改造资金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7,743,388.70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280,000.02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7,511,087.04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五家渠华孚色纱项目建设补助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615,884.88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10,900.02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604,984.86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新疆</w:t>
            </w:r>
            <w:proofErr w:type="gramStart"/>
            <w:r w:rsidRPr="00A57714">
              <w:rPr>
                <w:rFonts w:asciiTheme="minorEastAsia" w:hAnsiTheme="minorEastAsia" w:hint="eastAsia"/>
                <w:color w:val="000000"/>
                <w:sz w:val="18"/>
                <w:szCs w:val="18"/>
              </w:rPr>
              <w:t>六孚土地</w:t>
            </w:r>
            <w:proofErr w:type="gramEnd"/>
            <w:r w:rsidRPr="00A57714">
              <w:rPr>
                <w:rFonts w:asciiTheme="minorEastAsia" w:hAnsiTheme="minorEastAsia" w:hint="eastAsia"/>
                <w:color w:val="000000"/>
                <w:sz w:val="18"/>
                <w:szCs w:val="18"/>
              </w:rPr>
              <w:t>补贴款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877,449.68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114,051.12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763,398.56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32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九江中</w:t>
            </w:r>
            <w:proofErr w:type="gramStart"/>
            <w:r w:rsidRPr="00A57714">
              <w:rPr>
                <w:rFonts w:asciiTheme="minorEastAsia" w:hAnsiTheme="minorEastAsia" w:hint="eastAsia"/>
                <w:color w:val="000000"/>
                <w:sz w:val="18"/>
                <w:szCs w:val="18"/>
              </w:rPr>
              <w:t>浩</w:t>
            </w:r>
            <w:proofErr w:type="gramEnd"/>
            <w:r w:rsidRPr="00A57714">
              <w:rPr>
                <w:rFonts w:asciiTheme="minorEastAsia" w:hAnsiTheme="minorEastAsia" w:hint="eastAsia"/>
                <w:color w:val="000000"/>
                <w:sz w:val="18"/>
                <w:szCs w:val="18"/>
              </w:rPr>
              <w:t>支持重点承接地厂房建设款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540,000.00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18,000.00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522,000.00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阿克苏小商品</w:t>
            </w:r>
            <w:proofErr w:type="gramStart"/>
            <w:r w:rsidRPr="00A57714">
              <w:rPr>
                <w:rFonts w:asciiTheme="minorEastAsia" w:hAnsiTheme="minorEastAsia" w:hint="eastAsia"/>
                <w:color w:val="000000"/>
                <w:sz w:val="18"/>
                <w:szCs w:val="18"/>
              </w:rPr>
              <w:t>城设备</w:t>
            </w:r>
            <w:proofErr w:type="gramEnd"/>
            <w:r w:rsidRPr="00A57714">
              <w:rPr>
                <w:rFonts w:asciiTheme="minorEastAsia" w:hAnsiTheme="minorEastAsia" w:hint="eastAsia"/>
                <w:color w:val="000000"/>
                <w:sz w:val="18"/>
                <w:szCs w:val="18"/>
              </w:rPr>
              <w:t>补贴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5,848,719.96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338,670.00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5,510,049.96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44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阿克苏华孚</w:t>
            </w:r>
            <w:proofErr w:type="gramStart"/>
            <w:r w:rsidRPr="00A57714">
              <w:rPr>
                <w:rFonts w:asciiTheme="minorEastAsia" w:hAnsiTheme="minorEastAsia" w:hint="eastAsia"/>
                <w:color w:val="000000"/>
                <w:sz w:val="18"/>
                <w:szCs w:val="18"/>
              </w:rPr>
              <w:t>16万锭与设备</w:t>
            </w:r>
            <w:proofErr w:type="gramEnd"/>
            <w:r w:rsidRPr="00A57714">
              <w:rPr>
                <w:rFonts w:asciiTheme="minorEastAsia" w:hAnsiTheme="minorEastAsia" w:hint="eastAsia"/>
                <w:color w:val="000000"/>
                <w:sz w:val="18"/>
                <w:szCs w:val="18"/>
              </w:rPr>
              <w:t>补贴 </w:t>
            </w:r>
          </w:p>
        </w:tc>
        <w:tc>
          <w:tcPr>
            <w:tcW w:w="15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1,102,500.06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147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72,692.28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1,029,807.78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与资产相关 </w:t>
            </w:r>
          </w:p>
        </w:tc>
      </w:tr>
      <w:tr w:rsidR="00A57714" w:rsidRPr="00A57714" w:rsidTr="00A57714">
        <w:trPr>
          <w:divId w:val="371424788"/>
          <w:trHeight w:val="327"/>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3D3D3"/>
            <w:noWrap/>
            <w:tcMar>
              <w:top w:w="15" w:type="dxa"/>
              <w:left w:w="15" w:type="dxa"/>
              <w:bottom w:w="0" w:type="dxa"/>
              <w:right w:w="15" w:type="dxa"/>
            </w:tcMar>
            <w:vAlign w:val="center"/>
            <w:hideMark/>
          </w:tcPr>
          <w:p w:rsidR="00BE788E" w:rsidRPr="00A57714" w:rsidRDefault="00BE788E">
            <w:pPr>
              <w:jc w:val="both"/>
              <w:rPr>
                <w:rFonts w:asciiTheme="minorEastAsia" w:hAnsiTheme="minorEastAsia" w:cs="宋体"/>
                <w:color w:val="000000"/>
                <w:sz w:val="18"/>
                <w:szCs w:val="18"/>
              </w:rPr>
            </w:pPr>
            <w:r w:rsidRPr="00A57714">
              <w:rPr>
                <w:rFonts w:asciiTheme="minorEastAsia" w:hAnsiTheme="minorEastAsia" w:hint="eastAsia"/>
                <w:color w:val="000000"/>
                <w:sz w:val="18"/>
                <w:szCs w:val="18"/>
              </w:rPr>
              <w:t> 合计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35,626,316.46 </w:t>
            </w:r>
          </w:p>
        </w:tc>
        <w:tc>
          <w:tcPr>
            <w:tcW w:w="771"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114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1,214,541.48 </w:t>
            </w:r>
          </w:p>
        </w:tc>
        <w:tc>
          <w:tcPr>
            <w:tcW w:w="967"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57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color w:val="000000"/>
                <w:sz w:val="18"/>
                <w:szCs w:val="18"/>
              </w:rPr>
              <w:t> -   </w:t>
            </w:r>
          </w:p>
        </w:tc>
        <w:tc>
          <w:tcPr>
            <w:tcW w:w="156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rsidP="00A57714">
            <w:pPr>
              <w:jc w:val="right"/>
              <w:rPr>
                <w:rFonts w:asciiTheme="minorEastAsia" w:hAnsiTheme="minorEastAsia" w:cs="宋体"/>
                <w:color w:val="000000"/>
                <w:sz w:val="18"/>
                <w:szCs w:val="18"/>
              </w:rPr>
            </w:pPr>
            <w:r w:rsidRPr="00A57714">
              <w:rPr>
                <w:rFonts w:asciiTheme="minorEastAsia" w:hAnsiTheme="minorEastAsia" w:hint="eastAsia"/>
                <w:color w:val="000000"/>
                <w:sz w:val="18"/>
                <w:szCs w:val="18"/>
              </w:rPr>
              <w:t> 34,411,774.98 </w:t>
            </w:r>
          </w:p>
        </w:tc>
        <w:tc>
          <w:tcPr>
            <w:tcW w:w="1084"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hideMark/>
          </w:tcPr>
          <w:p w:rsidR="00BE788E" w:rsidRPr="00A57714" w:rsidRDefault="00BE788E">
            <w:pPr>
              <w:rPr>
                <w:rFonts w:asciiTheme="minorEastAsia" w:hAnsiTheme="minorEastAsia" w:cs="宋体"/>
                <w:color w:val="000000"/>
                <w:sz w:val="18"/>
                <w:szCs w:val="18"/>
              </w:rPr>
            </w:pPr>
            <w:r w:rsidRPr="00A57714">
              <w:rPr>
                <w:rFonts w:asciiTheme="minorEastAsia" w:hAnsiTheme="minorEastAsia" w:hint="eastAsia"/>
                <w:color w:val="000000"/>
                <w:sz w:val="18"/>
                <w:szCs w:val="18"/>
              </w:rPr>
              <w:t> </w:t>
            </w:r>
          </w:p>
        </w:tc>
      </w:tr>
    </w:tbl>
    <w:p w:rsidR="00037019" w:rsidRDefault="00BE788E">
      <w:pPr>
        <w:pStyle w:val="2"/>
        <w:spacing w:before="300" w:after="300" w:line="320" w:lineRule="exact"/>
        <w:rPr>
          <w:rFonts w:ascii="宋体" w:eastAsia="宋体" w:hAnsi="宋体" w:cs="宋体"/>
          <w:b/>
          <w:bCs/>
          <w:sz w:val="24"/>
          <w:szCs w:val="24"/>
        </w:rPr>
      </w:pPr>
      <w:bookmarkStart w:id="394" w:name="_Toc989341"/>
      <w:r>
        <w:rPr>
          <w:rFonts w:ascii="宋体" w:eastAsia="宋体" w:hAnsi="宋体" w:cs="宋体"/>
          <w:b/>
          <w:bCs/>
          <w:sz w:val="24"/>
          <w:szCs w:val="24"/>
        </w:rPr>
        <w:t>十二、与金融工具相关的风险</w:t>
      </w:r>
      <w:bookmarkEnd w:id="394"/>
    </w:p>
    <w:p w:rsidR="00037019" w:rsidRDefault="00BE788E">
      <w:pPr>
        <w:pStyle w:val="3"/>
        <w:spacing w:line="280" w:lineRule="exact"/>
        <w:jc w:val="left"/>
        <w:rPr>
          <w:rFonts w:ascii="宋体" w:hAnsi="宋体" w:cs="宋体"/>
          <w:b/>
          <w:bCs/>
        </w:rPr>
      </w:pPr>
      <w:bookmarkStart w:id="395" w:name="_Toc989342"/>
      <w:r>
        <w:rPr>
          <w:rFonts w:ascii="宋体" w:hAnsi="宋体" w:cs="宋体"/>
          <w:b/>
          <w:bCs/>
        </w:rPr>
        <w:t>1、金融工具产生的各类风险</w:t>
      </w:r>
      <w:bookmarkEnd w:id="395"/>
    </w:p>
    <w:p w:rsidR="00BE788E" w:rsidRDefault="00BE788E" w:rsidP="00A57714">
      <w:pPr>
        <w:pStyle w:val="a3"/>
        <w:spacing w:before="0" w:beforeAutospacing="0" w:after="0" w:afterAutospacing="0"/>
        <w:ind w:firstLine="420"/>
        <w:jc w:val="both"/>
        <w:divId w:val="973487394"/>
      </w:pPr>
      <w:r>
        <w:rPr>
          <w:rFonts w:hint="eastAsia"/>
          <w:sz w:val="18"/>
          <w:szCs w:val="18"/>
        </w:rPr>
        <w:t>1.信用风险</w:t>
      </w:r>
    </w:p>
    <w:p w:rsidR="00BE788E" w:rsidRDefault="00BE788E" w:rsidP="00A57714">
      <w:pPr>
        <w:pStyle w:val="a3"/>
        <w:spacing w:before="0" w:beforeAutospacing="0" w:after="0" w:afterAutospacing="0"/>
        <w:ind w:firstLine="420"/>
        <w:jc w:val="both"/>
        <w:divId w:val="973487394"/>
      </w:pPr>
      <w:r>
        <w:rPr>
          <w:rFonts w:hint="eastAsia"/>
          <w:sz w:val="18"/>
          <w:szCs w:val="18"/>
        </w:rPr>
        <w:t>信用风险是指交易对手未能履行合同义务而导致本公司产生财务损失的风险，管理层已制定适当的信用政策，并且不断监察信用风险的敞口。</w:t>
      </w:r>
    </w:p>
    <w:p w:rsidR="00BE788E" w:rsidRDefault="00BE788E" w:rsidP="00A57714">
      <w:pPr>
        <w:pStyle w:val="a3"/>
        <w:spacing w:before="0" w:beforeAutospacing="0" w:after="0" w:afterAutospacing="0"/>
        <w:ind w:firstLine="420"/>
        <w:jc w:val="both"/>
        <w:divId w:val="973487394"/>
      </w:pPr>
      <w:r>
        <w:rPr>
          <w:rFonts w:hint="eastAsia"/>
          <w:sz w:val="18"/>
          <w:szCs w:val="18"/>
        </w:rPr>
        <w:t>本公司已采取政策只与信用良好的交易对手进行交易。另外，本公司基于对客户的财务状况、从第三方获取担保的可能性、信用记录及其它因素诸如目前市场状况等评估客户的信用资质并设置相应信用期。本公司对应收票据、应收账款余额及收回情况进行持续监控，对于信用记录不良的客户，本公司会采用书面催款、缩短信用期或取消信用期等方式，以确保本公司不致面临重大信用损失。此外，本公司于每个资产负债表日审核金融资产的回收情况，以确保相关金融资产计提了充分的预期信用损失准备。</w:t>
      </w:r>
    </w:p>
    <w:p w:rsidR="00BE788E" w:rsidRDefault="00BE788E" w:rsidP="00A57714">
      <w:pPr>
        <w:pStyle w:val="a3"/>
        <w:spacing w:before="0" w:beforeAutospacing="0" w:after="0" w:afterAutospacing="0"/>
        <w:ind w:firstLine="420"/>
        <w:jc w:val="both"/>
        <w:divId w:val="973487394"/>
      </w:pPr>
      <w:r>
        <w:rPr>
          <w:rFonts w:hint="eastAsia"/>
          <w:sz w:val="18"/>
          <w:szCs w:val="18"/>
        </w:rPr>
        <w:t>本公司其他金融资产包括货币资金、其他应收款、债权投资等，这些金融资产的信用风险源自于交易对手违约，最大信用风险敞口为资产负债表中每项金融资产的账面金额。除关联方及关联交易所载本公司</w:t>
      </w:r>
      <w:proofErr w:type="gramStart"/>
      <w:r>
        <w:rPr>
          <w:rFonts w:hint="eastAsia"/>
          <w:sz w:val="18"/>
          <w:szCs w:val="18"/>
        </w:rPr>
        <w:t>作出</w:t>
      </w:r>
      <w:proofErr w:type="gramEnd"/>
      <w:r>
        <w:rPr>
          <w:rFonts w:hint="eastAsia"/>
          <w:sz w:val="18"/>
          <w:szCs w:val="18"/>
        </w:rPr>
        <w:t>的财务担保外，本公司没有提供任何其他可能令本公司承受信用风险的担保。</w:t>
      </w:r>
    </w:p>
    <w:p w:rsidR="00BE788E" w:rsidRDefault="00BE788E" w:rsidP="00A57714">
      <w:pPr>
        <w:pStyle w:val="a3"/>
        <w:spacing w:before="0" w:beforeAutospacing="0" w:after="0" w:afterAutospacing="0"/>
        <w:ind w:firstLine="420"/>
        <w:jc w:val="both"/>
        <w:divId w:val="973487394"/>
      </w:pPr>
      <w:r>
        <w:rPr>
          <w:rFonts w:hint="eastAsia"/>
          <w:sz w:val="18"/>
          <w:szCs w:val="18"/>
        </w:rPr>
        <w:t>本公司持有的货币资金主要存放于国有控股银行和其他大中型商业银行等金融机构，管理层认为这些商业银行具备较高信誉和资产状况，不存在重大的信用风险，不会产生因对方单位违约而导致的任何重大损失。本公司的政策是根据各知名金融机构的市场信誉、经营规模及财务背景来控制存放当中的存款金额，以限制对任何单个金融机构的信用风险金额。</w:t>
      </w:r>
    </w:p>
    <w:p w:rsidR="00BE788E" w:rsidRDefault="00BE788E" w:rsidP="00A57714">
      <w:pPr>
        <w:pStyle w:val="a3"/>
        <w:spacing w:before="0" w:beforeAutospacing="0" w:after="0" w:afterAutospacing="0"/>
        <w:ind w:firstLine="420"/>
        <w:jc w:val="both"/>
        <w:divId w:val="973487394"/>
      </w:pPr>
      <w:r>
        <w:rPr>
          <w:rFonts w:hint="eastAsia"/>
          <w:sz w:val="18"/>
          <w:szCs w:val="18"/>
        </w:rPr>
        <w:t>作为本公司信用风险资产管理的一部分，本公司利用账龄来评估应收账款和其他应收款的减值损失。本公司的应收账款和其他应收</w:t>
      </w:r>
      <w:proofErr w:type="gramStart"/>
      <w:r>
        <w:rPr>
          <w:rFonts w:hint="eastAsia"/>
          <w:sz w:val="18"/>
          <w:szCs w:val="18"/>
        </w:rPr>
        <w:t>款涉及</w:t>
      </w:r>
      <w:proofErr w:type="gramEnd"/>
      <w:r>
        <w:rPr>
          <w:rFonts w:hint="eastAsia"/>
          <w:sz w:val="18"/>
          <w:szCs w:val="18"/>
        </w:rPr>
        <w:t>大量客户，账</w:t>
      </w:r>
      <w:proofErr w:type="gramStart"/>
      <w:r>
        <w:rPr>
          <w:rFonts w:hint="eastAsia"/>
          <w:sz w:val="18"/>
          <w:szCs w:val="18"/>
        </w:rPr>
        <w:t>龄信息</w:t>
      </w:r>
      <w:proofErr w:type="gramEnd"/>
      <w:r>
        <w:rPr>
          <w:rFonts w:hint="eastAsia"/>
          <w:sz w:val="18"/>
          <w:szCs w:val="18"/>
        </w:rPr>
        <w:t>可以反映这些客户对于应收账款和其他应收款的偿付能力和坏账风险。本公司根据历史数据计算不同</w:t>
      </w:r>
      <w:proofErr w:type="gramStart"/>
      <w:r>
        <w:rPr>
          <w:rFonts w:hint="eastAsia"/>
          <w:sz w:val="18"/>
          <w:szCs w:val="18"/>
        </w:rPr>
        <w:t>账</w:t>
      </w:r>
      <w:proofErr w:type="gramEnd"/>
      <w:r>
        <w:rPr>
          <w:rFonts w:hint="eastAsia"/>
          <w:sz w:val="18"/>
          <w:szCs w:val="18"/>
        </w:rPr>
        <w:t>龄期间的历史实际坏账率，并考虑了当前及未来经济状况的预测，如国家</w:t>
      </w:r>
      <w:r>
        <w:rPr>
          <w:rFonts w:ascii="Times New Roman" w:hAnsi="Times New Roman" w:cs="Times New Roman"/>
          <w:sz w:val="18"/>
          <w:szCs w:val="18"/>
        </w:rPr>
        <w:t>GDP</w:t>
      </w:r>
      <w:r>
        <w:rPr>
          <w:rFonts w:hint="eastAsia"/>
          <w:sz w:val="18"/>
          <w:szCs w:val="18"/>
        </w:rPr>
        <w:t>增速、基建投资总额、国家货币政策等前瞻性信息进行调整得出预期损失率。对于长期应收款，本公司综合考虑结算期、合同约定付款期、债务人的财务状况和债务人所处行业的经济形势，并考虑上述前瞻性信息进行调整后对于预期信用损失进行合理评估。</w:t>
      </w:r>
    </w:p>
    <w:p w:rsidR="00BE788E" w:rsidRDefault="00BE788E">
      <w:pPr>
        <w:pStyle w:val="a3"/>
        <w:spacing w:before="0" w:beforeAutospacing="0" w:after="0" w:afterAutospacing="0" w:line="360" w:lineRule="auto"/>
        <w:ind w:firstLine="420"/>
        <w:jc w:val="both"/>
        <w:divId w:val="973487394"/>
      </w:pPr>
      <w:r>
        <w:rPr>
          <w:rFonts w:hint="eastAsia"/>
          <w:sz w:val="18"/>
          <w:szCs w:val="18"/>
        </w:rPr>
        <w:t>2.</w:t>
      </w:r>
      <w:r>
        <w:rPr>
          <w:rStyle w:val="15"/>
          <w:rFonts w:hint="eastAsia"/>
          <w:b/>
          <w:bCs/>
          <w:sz w:val="18"/>
          <w:szCs w:val="18"/>
        </w:rPr>
        <w:t>流动性风险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流动性风险是指本公司在履行以交付现金或其他金融资产的方式结算的义务时发生资金短缺的风险。本公司下属成员企业各自负责其现金流量预测。公司下属资金管理部门基于各成员企业的现金流量预测结果，在公司层面持续监控公</w:t>
      </w:r>
      <w:r>
        <w:rPr>
          <w:rFonts w:hint="eastAsia"/>
          <w:sz w:val="18"/>
          <w:szCs w:val="18"/>
        </w:rPr>
        <w:lastRenderedPageBreak/>
        <w:t>司短期和长期的资金需求，以确保维持充裕的现金储备；同时持续监控是否符合借款协议的规定，从主要金融机构获得提供足够备用资金的承诺，以满足短期和长期的资金需求。此外，本公司与主要业务往来银行订立融资额度授信协议，为本公司履行与商业票据相关的义务提供支持。</w:t>
      </w:r>
    </w:p>
    <w:p w:rsidR="00BE788E" w:rsidRDefault="00BE788E">
      <w:pPr>
        <w:pStyle w:val="a3"/>
        <w:divId w:val="973487394"/>
        <w:rPr>
          <w:sz w:val="18"/>
          <w:szCs w:val="18"/>
        </w:rPr>
      </w:pPr>
      <w:r>
        <w:rPr>
          <w:rFonts w:hint="eastAsia"/>
          <w:sz w:val="18"/>
          <w:szCs w:val="18"/>
        </w:rPr>
        <w:t>   3.市场风险</w:t>
      </w:r>
    </w:p>
    <w:p w:rsidR="00BE788E" w:rsidRDefault="00BE788E" w:rsidP="00F34484">
      <w:pPr>
        <w:widowControl/>
        <w:numPr>
          <w:ilvl w:val="0"/>
          <w:numId w:val="108"/>
        </w:numPr>
        <w:spacing w:before="100" w:beforeAutospacing="1" w:after="100" w:afterAutospacing="1"/>
        <w:divId w:val="973487394"/>
        <w:rPr>
          <w:sz w:val="18"/>
          <w:szCs w:val="18"/>
        </w:rPr>
      </w:pPr>
      <w:r>
        <w:rPr>
          <w:rFonts w:hint="eastAsia"/>
          <w:sz w:val="18"/>
          <w:szCs w:val="18"/>
        </w:rPr>
        <w:t>汇率风险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本公司的主要经营位于中国境内，主要业务以人民币结算。但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货币互换合约来达到规避汇率风险的目的。</w:t>
      </w:r>
    </w:p>
    <w:p w:rsidR="00BE788E" w:rsidRDefault="00BE788E" w:rsidP="00F34484">
      <w:pPr>
        <w:widowControl/>
        <w:numPr>
          <w:ilvl w:val="0"/>
          <w:numId w:val="109"/>
        </w:numPr>
        <w:spacing w:before="100" w:beforeAutospacing="1" w:after="100" w:afterAutospacing="1"/>
        <w:divId w:val="973487394"/>
        <w:rPr>
          <w:sz w:val="18"/>
          <w:szCs w:val="18"/>
        </w:rPr>
      </w:pPr>
      <w:r>
        <w:rPr>
          <w:rFonts w:hint="eastAsia"/>
          <w:sz w:val="18"/>
          <w:szCs w:val="18"/>
        </w:rPr>
        <w:t>利率风险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本公司的利率风险主要产生于银行借款等。浮动利率的金融负债使本公司面临现金流量利率风险，固定利率的金融负债使本公司面临公允价值利率风险。本公司根据当时的市场环境来决定固定利率及浮动利率合同的相对比例。</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这些调整可能是融资结构和融资渠道的安排来降低利率风险。</w:t>
      </w:r>
    </w:p>
    <w:p w:rsidR="00BE788E" w:rsidRDefault="00BE788E" w:rsidP="00F34484">
      <w:pPr>
        <w:widowControl/>
        <w:numPr>
          <w:ilvl w:val="0"/>
          <w:numId w:val="110"/>
        </w:numPr>
        <w:spacing w:before="100" w:beforeAutospacing="1" w:after="100" w:afterAutospacing="1"/>
        <w:divId w:val="973487394"/>
        <w:rPr>
          <w:sz w:val="18"/>
          <w:szCs w:val="18"/>
        </w:rPr>
      </w:pPr>
      <w:r>
        <w:rPr>
          <w:rFonts w:hint="eastAsia"/>
          <w:sz w:val="18"/>
          <w:szCs w:val="18"/>
        </w:rPr>
        <w:t>价格风险</w:t>
      </w:r>
    </w:p>
    <w:p w:rsidR="00BE788E" w:rsidRPr="00A57714" w:rsidRDefault="00BE788E" w:rsidP="00A57714">
      <w:pPr>
        <w:pStyle w:val="a3"/>
        <w:spacing w:before="0" w:beforeAutospacing="0" w:after="0" w:afterAutospacing="0"/>
        <w:ind w:firstLine="420"/>
        <w:jc w:val="both"/>
        <w:divId w:val="973487394"/>
        <w:rPr>
          <w:sz w:val="18"/>
          <w:szCs w:val="18"/>
        </w:rPr>
      </w:pPr>
      <w:r>
        <w:rPr>
          <w:rFonts w:hint="eastAsia"/>
          <w:sz w:val="18"/>
          <w:szCs w:val="18"/>
        </w:rPr>
        <w:t>价格风险指汇率风险和利率风险以外的市场价格变动而发生波动的风险，主要源于商品价格、股票市场指数、权益工具价格以及其他风险变量的变化。</w:t>
      </w:r>
    </w:p>
    <w:p w:rsidR="00037019" w:rsidRDefault="00BE788E">
      <w:pPr>
        <w:pStyle w:val="3"/>
        <w:spacing w:line="280" w:lineRule="exact"/>
        <w:jc w:val="left"/>
        <w:rPr>
          <w:rFonts w:ascii="宋体" w:hAnsi="宋体" w:cs="宋体"/>
          <w:b/>
          <w:bCs/>
        </w:rPr>
      </w:pPr>
      <w:bookmarkStart w:id="396" w:name="_Toc989343"/>
      <w:r>
        <w:rPr>
          <w:rFonts w:ascii="宋体" w:hAnsi="宋体" w:cs="宋体"/>
          <w:b/>
          <w:bCs/>
        </w:rPr>
        <w:t>2、套期</w:t>
      </w:r>
      <w:bookmarkEnd w:id="396"/>
    </w:p>
    <w:p w:rsidR="00037019" w:rsidRDefault="00BE788E">
      <w:pPr>
        <w:keepNext/>
        <w:keepLines/>
        <w:spacing w:before="300" w:after="300" w:line="280" w:lineRule="exact"/>
        <w:outlineLvl w:val="4"/>
        <w:rPr>
          <w:rFonts w:ascii="宋体" w:eastAsia="宋体" w:hAnsi="宋体" w:cs="宋体"/>
          <w:b/>
          <w:bCs/>
          <w:sz w:val="18"/>
          <w:szCs w:val="18"/>
        </w:rPr>
      </w:pPr>
      <w:bookmarkStart w:id="397" w:name="_Toc989344"/>
      <w:r>
        <w:rPr>
          <w:rFonts w:ascii="宋体" w:eastAsia="宋体" w:hAnsi="宋体" w:cs="宋体"/>
          <w:b/>
          <w:bCs/>
          <w:sz w:val="18"/>
          <w:szCs w:val="18"/>
        </w:rPr>
        <w:t>（1） 公司开展套期业务进行风险管理</w:t>
      </w:r>
      <w:bookmarkEnd w:id="39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398" w:name="_Toc989345"/>
      <w:r>
        <w:rPr>
          <w:rFonts w:ascii="宋体" w:eastAsia="宋体" w:hAnsi="宋体" w:cs="宋体"/>
          <w:b/>
          <w:bCs/>
          <w:sz w:val="18"/>
          <w:szCs w:val="18"/>
        </w:rPr>
        <w:t>（2） 公司开展符合条件套期业务并应用套期会计</w:t>
      </w:r>
      <w:bookmarkEnd w:id="398"/>
    </w:p>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399" w:name="_Toc989346"/>
      <w:r>
        <w:rPr>
          <w:rFonts w:ascii="宋体" w:eastAsia="宋体" w:hAnsi="宋体" w:cs="宋体"/>
          <w:b/>
          <w:bCs/>
          <w:sz w:val="18"/>
          <w:szCs w:val="18"/>
        </w:rPr>
        <w:t>（3） 公司开展套期业务进行风险管理、预期能实现风险管理目标但未应用套期会计</w:t>
      </w:r>
      <w:bookmarkEnd w:id="39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400" w:name="_Toc989347"/>
      <w:r>
        <w:rPr>
          <w:rFonts w:ascii="宋体" w:hAnsi="宋体" w:cs="宋体"/>
          <w:b/>
          <w:bCs/>
        </w:rPr>
        <w:t>3、金融资产</w:t>
      </w:r>
      <w:bookmarkEnd w:id="400"/>
    </w:p>
    <w:p w:rsidR="00037019" w:rsidRDefault="00BE788E">
      <w:pPr>
        <w:keepNext/>
        <w:keepLines/>
        <w:spacing w:before="300" w:after="300" w:line="280" w:lineRule="exact"/>
        <w:outlineLvl w:val="3"/>
        <w:rPr>
          <w:rFonts w:ascii="宋体" w:eastAsia="宋体" w:hAnsi="宋体" w:cs="宋体"/>
          <w:b/>
          <w:bCs/>
          <w:sz w:val="18"/>
          <w:szCs w:val="18"/>
        </w:rPr>
      </w:pPr>
      <w:bookmarkStart w:id="401" w:name="_Toc989348"/>
      <w:r>
        <w:rPr>
          <w:rFonts w:ascii="宋体" w:eastAsia="宋体" w:hAnsi="宋体" w:cs="宋体"/>
          <w:b/>
          <w:bCs/>
          <w:sz w:val="18"/>
          <w:szCs w:val="18"/>
        </w:rPr>
        <w:t>（1） 转移方式分类</w:t>
      </w:r>
      <w:bookmarkEnd w:id="40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402" w:name="_Toc989349"/>
      <w:r>
        <w:rPr>
          <w:rFonts w:ascii="宋体" w:eastAsia="宋体" w:hAnsi="宋体" w:cs="宋体"/>
          <w:b/>
          <w:bCs/>
          <w:sz w:val="18"/>
          <w:szCs w:val="18"/>
        </w:rPr>
        <w:lastRenderedPageBreak/>
        <w:t>（2） 因转移而终止确认的金融资产</w:t>
      </w:r>
      <w:bookmarkEnd w:id="402"/>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 w:val="18"/>
          <w:szCs w:val="18"/>
        </w:rPr>
      </w:pPr>
      <w:bookmarkStart w:id="403" w:name="_Toc989350"/>
      <w:r>
        <w:rPr>
          <w:rFonts w:ascii="宋体" w:eastAsia="宋体" w:hAnsi="宋体" w:cs="宋体"/>
          <w:b/>
          <w:bCs/>
          <w:sz w:val="18"/>
          <w:szCs w:val="18"/>
        </w:rPr>
        <w:t>（3） 继续涉入的资产转移金融资产</w:t>
      </w:r>
      <w:bookmarkEnd w:id="403"/>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04" w:name="_Toc989351"/>
      <w:r>
        <w:rPr>
          <w:rFonts w:ascii="宋体" w:eastAsia="宋体" w:hAnsi="宋体" w:cs="宋体"/>
          <w:b/>
          <w:bCs/>
          <w:sz w:val="24"/>
          <w:szCs w:val="24"/>
        </w:rPr>
        <w:t>十三、公允价值的披露</w:t>
      </w:r>
      <w:bookmarkEnd w:id="404"/>
    </w:p>
    <w:p w:rsidR="00037019" w:rsidRDefault="00BE788E">
      <w:pPr>
        <w:pStyle w:val="3"/>
        <w:spacing w:line="280" w:lineRule="exact"/>
        <w:jc w:val="left"/>
        <w:rPr>
          <w:rFonts w:ascii="宋体" w:hAnsi="宋体" w:cs="宋体"/>
          <w:b/>
          <w:bCs/>
        </w:rPr>
      </w:pPr>
      <w:bookmarkStart w:id="405" w:name="_Toc989352"/>
      <w:r>
        <w:rPr>
          <w:rFonts w:ascii="宋体" w:hAnsi="宋体" w:cs="宋体"/>
          <w:b/>
          <w:bCs/>
        </w:rPr>
        <w:t>1、以公允价值计量的资产和负债的期末公允价值</w:t>
      </w:r>
      <w:bookmarkEnd w:id="40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期末公允价值</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（一）交易性金融资产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126,689,973.15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104,805,877.96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231,495,851.11</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（2）权益工具投资</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392,601.34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392,601.34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126,297,371.81</w:t>
            </w:r>
          </w:p>
        </w:tc>
      </w:tr>
      <w:tr w:rsidR="00037019" w:rsidTr="00223D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银行理财产品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62,678,650.92</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62,678,650.92</w:t>
            </w:r>
          </w:p>
        </w:tc>
      </w:tr>
      <w:tr w:rsidR="00037019" w:rsidTr="00223D6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信托基金</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42,127,227.04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42,127,227.04</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37019" w:rsidRDefault="00BE788E">
      <w:pPr>
        <w:pStyle w:val="3"/>
        <w:spacing w:line="280" w:lineRule="exact"/>
        <w:jc w:val="left"/>
        <w:rPr>
          <w:rFonts w:ascii="宋体" w:hAnsi="宋体" w:cs="宋体"/>
          <w:b/>
          <w:bCs/>
        </w:rPr>
      </w:pPr>
      <w:bookmarkStart w:id="406" w:name="_Toc989353"/>
      <w:r>
        <w:rPr>
          <w:rFonts w:ascii="宋体" w:hAnsi="宋体" w:cs="宋体"/>
          <w:b/>
          <w:bCs/>
        </w:rPr>
        <w:t>2、持续和非持续第一层次公允价值计量项目市价的确定依据</w:t>
      </w:r>
      <w:bookmarkEnd w:id="406"/>
    </w:p>
    <w:p w:rsidR="00BE788E" w:rsidRDefault="00BE788E">
      <w:pPr>
        <w:pStyle w:val="a3"/>
        <w:divId w:val="185633613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07" w:name="_Toc989354"/>
      <w:r>
        <w:rPr>
          <w:rFonts w:ascii="宋体" w:hAnsi="宋体" w:cs="宋体"/>
          <w:b/>
          <w:bCs/>
        </w:rPr>
        <w:t>3、持续和非持续第二层次公允价值计量项目，采用的估值技术和重要参数的定性及定量信息</w:t>
      </w:r>
      <w:bookmarkEnd w:id="407"/>
    </w:p>
    <w:p w:rsidR="00BE788E" w:rsidRDefault="00BE788E">
      <w:pPr>
        <w:pStyle w:val="a3"/>
        <w:divId w:val="8430644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08" w:name="_Toc989355"/>
      <w:r>
        <w:rPr>
          <w:rFonts w:ascii="宋体" w:hAnsi="宋体" w:cs="宋体"/>
          <w:b/>
          <w:bCs/>
        </w:rPr>
        <w:t>4、持续和非持续第三层次公允价值计量项目，采用的估值技术和重要参数的定性及定量信息</w:t>
      </w:r>
      <w:bookmarkEnd w:id="408"/>
    </w:p>
    <w:p w:rsidR="00BE788E" w:rsidRDefault="00BE788E">
      <w:pPr>
        <w:pStyle w:val="a3"/>
        <w:divId w:val="158453077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09" w:name="_Toc989356"/>
      <w:r>
        <w:rPr>
          <w:rFonts w:ascii="宋体" w:hAnsi="宋体" w:cs="宋体"/>
          <w:b/>
          <w:bCs/>
        </w:rPr>
        <w:t>5、持续的第三层次公允价值计量项目，期初与期末账面价值间的调节信息及不可观察参数敏感性分析</w:t>
      </w:r>
      <w:bookmarkEnd w:id="409"/>
    </w:p>
    <w:p w:rsidR="00BE788E" w:rsidRDefault="00BE788E">
      <w:pPr>
        <w:pStyle w:val="a3"/>
        <w:divId w:val="100828620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10" w:name="_Toc989357"/>
      <w:r>
        <w:rPr>
          <w:rFonts w:ascii="宋体" w:hAnsi="宋体" w:cs="宋体"/>
          <w:b/>
          <w:bCs/>
        </w:rPr>
        <w:t>6、持续的公允价值计量项目，本期内发生各层级之间转换的，转换的原因及确定转换时点的政策</w:t>
      </w:r>
      <w:bookmarkEnd w:id="410"/>
    </w:p>
    <w:p w:rsidR="00BE788E" w:rsidRDefault="00BE788E">
      <w:pPr>
        <w:pStyle w:val="a3"/>
        <w:divId w:val="200213941"/>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11" w:name="_Toc989358"/>
      <w:r>
        <w:rPr>
          <w:rFonts w:ascii="宋体" w:hAnsi="宋体" w:cs="宋体"/>
          <w:b/>
          <w:bCs/>
        </w:rPr>
        <w:lastRenderedPageBreak/>
        <w:t>7、本期内发生的估值技术变更及变更原因</w:t>
      </w:r>
      <w:bookmarkEnd w:id="411"/>
    </w:p>
    <w:p w:rsidR="00BE788E" w:rsidRDefault="00BE788E">
      <w:pPr>
        <w:pStyle w:val="a3"/>
        <w:divId w:val="2141799222"/>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12" w:name="_Toc989359"/>
      <w:r>
        <w:rPr>
          <w:rFonts w:ascii="宋体" w:hAnsi="宋体" w:cs="宋体"/>
          <w:b/>
          <w:bCs/>
        </w:rPr>
        <w:t>8、不以公允价值计量的金融资产和金融负债的公允价值情况</w:t>
      </w:r>
      <w:bookmarkEnd w:id="412"/>
    </w:p>
    <w:p w:rsidR="00BE788E" w:rsidRDefault="00BE788E">
      <w:pPr>
        <w:pStyle w:val="a3"/>
        <w:divId w:val="238297469"/>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13" w:name="_Toc989360"/>
      <w:r>
        <w:rPr>
          <w:rFonts w:ascii="宋体" w:hAnsi="宋体" w:cs="宋体"/>
          <w:b/>
          <w:bCs/>
        </w:rPr>
        <w:t>9、其他</w:t>
      </w:r>
      <w:bookmarkEnd w:id="413"/>
    </w:p>
    <w:p w:rsidR="00BE788E" w:rsidRDefault="00BE788E">
      <w:pPr>
        <w:pStyle w:val="a3"/>
        <w:divId w:val="945304559"/>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14" w:name="_Toc989361"/>
      <w:r>
        <w:rPr>
          <w:rFonts w:ascii="宋体" w:eastAsia="宋体" w:hAnsi="宋体" w:cs="宋体"/>
          <w:b/>
          <w:bCs/>
          <w:sz w:val="24"/>
          <w:szCs w:val="24"/>
        </w:rPr>
        <w:t>十四、关联方及关联交易</w:t>
      </w:r>
      <w:bookmarkEnd w:id="414"/>
    </w:p>
    <w:p w:rsidR="00037019" w:rsidRDefault="00BE788E">
      <w:pPr>
        <w:pStyle w:val="3"/>
        <w:spacing w:line="280" w:lineRule="exact"/>
        <w:jc w:val="left"/>
        <w:rPr>
          <w:rFonts w:ascii="宋体" w:hAnsi="宋体" w:cs="宋体"/>
          <w:b/>
          <w:bCs/>
        </w:rPr>
      </w:pPr>
      <w:bookmarkStart w:id="415" w:name="_Toc989362"/>
      <w:r>
        <w:rPr>
          <w:rFonts w:ascii="宋体" w:hAnsi="宋体" w:cs="宋体"/>
          <w:b/>
          <w:bCs/>
        </w:rPr>
        <w:t>1、本企业的母公司情况</w:t>
      </w:r>
      <w:bookmarkEnd w:id="41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9"/>
        <w:gridCol w:w="850"/>
        <w:gridCol w:w="3402"/>
        <w:gridCol w:w="1214"/>
        <w:gridCol w:w="1607"/>
        <w:gridCol w:w="1607"/>
      </w:tblGrid>
      <w:tr w:rsidR="00037019" w:rsidTr="00223D69">
        <w:trPr>
          <w:trHeight w:val="240"/>
        </w:trPr>
        <w:tc>
          <w:tcPr>
            <w:tcW w:w="959"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母公司名称</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3402"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1214"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母公司对本企业的持股比例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母公司对本企业的表决权比例</w:t>
            </w:r>
          </w:p>
        </w:tc>
      </w:tr>
      <w:tr w:rsidR="00037019" w:rsidTr="00223D69">
        <w:trPr>
          <w:trHeight w:val="240"/>
        </w:trPr>
        <w:tc>
          <w:tcPr>
            <w:tcW w:w="959"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85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广东省</w:t>
            </w:r>
          </w:p>
        </w:tc>
        <w:tc>
          <w:tcPr>
            <w:tcW w:w="3402"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投资兴办实业(具体项目另行申报)；色纺纱、服装经营；纺织设备进出口业务；在合法取得的土地使用权范围内从事房地产开发、经营；计算机应用、软件开发。</w:t>
            </w:r>
          </w:p>
        </w:tc>
        <w:tc>
          <w:tcPr>
            <w:tcW w:w="1214" w:type="dxa"/>
            <w:tcBorders>
              <w:top w:val="single" w:sz="2" w:space="0" w:color="auto"/>
              <w:left w:val="single" w:sz="2" w:space="0" w:color="auto"/>
              <w:bottom w:val="single" w:sz="2" w:space="0" w:color="auto"/>
              <w:right w:val="single" w:sz="2" w:space="0" w:color="auto"/>
            </w:tcBorders>
            <w:vAlign w:val="center"/>
          </w:tcPr>
          <w:p w:rsidR="00037019" w:rsidRDefault="00BE788E" w:rsidP="00223D69">
            <w:pPr>
              <w:spacing w:line="240" w:lineRule="exact"/>
              <w:jc w:val="right"/>
              <w:rPr>
                <w:rFonts w:ascii="宋体" w:eastAsia="宋体" w:hAnsi="宋体" w:cs="宋体"/>
                <w:sz w:val="18"/>
                <w:szCs w:val="18"/>
              </w:rPr>
            </w:pPr>
            <w:r>
              <w:rPr>
                <w:rFonts w:ascii="宋体" w:eastAsia="宋体" w:hAnsi="宋体" w:cs="宋体"/>
                <w:sz w:val="18"/>
                <w:szCs w:val="18"/>
              </w:rPr>
              <w:t>41,300万元</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rsidP="00223D69">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rsidP="00223D69">
            <w:pPr>
              <w:spacing w:line="240" w:lineRule="exact"/>
              <w:jc w:val="right"/>
              <w:rPr>
                <w:rFonts w:ascii="宋体" w:eastAsia="宋体" w:hAnsi="宋体" w:cs="宋体"/>
                <w:sz w:val="18"/>
                <w:szCs w:val="18"/>
              </w:rPr>
            </w:pPr>
            <w:r>
              <w:rPr>
                <w:rFonts w:ascii="宋体" w:eastAsia="宋体" w:hAnsi="宋体" w:cs="宋体"/>
                <w:sz w:val="18"/>
                <w:szCs w:val="18"/>
              </w:rPr>
              <w:t>29.50%</w:t>
            </w:r>
          </w:p>
        </w:tc>
      </w:tr>
    </w:tbl>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本企业的母公司情况的说明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本企业最终控制方是孙伟挺和陈玲芬。</w:t>
      </w:r>
    </w:p>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hint="eastAsia"/>
          <w:sz w:val="18"/>
          <w:szCs w:val="18"/>
        </w:rPr>
        <w:t>无</w:t>
      </w:r>
    </w:p>
    <w:p w:rsidR="00037019" w:rsidRDefault="00BE788E">
      <w:pPr>
        <w:pStyle w:val="3"/>
        <w:spacing w:line="280" w:lineRule="exact"/>
        <w:jc w:val="left"/>
        <w:rPr>
          <w:rFonts w:ascii="宋体" w:hAnsi="宋体" w:cs="宋体"/>
          <w:b/>
          <w:bCs/>
        </w:rPr>
      </w:pPr>
      <w:bookmarkStart w:id="416" w:name="_Toc989363"/>
      <w:r>
        <w:rPr>
          <w:rFonts w:ascii="宋体" w:hAnsi="宋体" w:cs="宋体"/>
          <w:b/>
          <w:bCs/>
        </w:rPr>
        <w:t>2、本企业的子公司情况</w:t>
      </w:r>
      <w:bookmarkEnd w:id="41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本企业子公司的情况详见附注十</w:t>
      </w:r>
      <w:proofErr w:type="gramStart"/>
      <w:r>
        <w:rPr>
          <w:rFonts w:ascii="宋体" w:eastAsia="宋体" w:hAnsi="宋体" w:cs="宋体"/>
          <w:sz w:val="18"/>
          <w:szCs w:val="18"/>
        </w:rPr>
        <w:t>1</w:t>
      </w:r>
      <w:proofErr w:type="gramEnd"/>
      <w:r>
        <w:rPr>
          <w:rFonts w:ascii="宋体" w:eastAsia="宋体" w:hAnsi="宋体" w:cs="宋体"/>
          <w:sz w:val="18"/>
          <w:szCs w:val="18"/>
        </w:rPr>
        <w:t>.在子公司中的权益。</w:t>
      </w:r>
    </w:p>
    <w:p w:rsidR="00037019" w:rsidRDefault="00BE788E">
      <w:pPr>
        <w:pStyle w:val="3"/>
        <w:spacing w:line="280" w:lineRule="exact"/>
        <w:jc w:val="left"/>
        <w:rPr>
          <w:rFonts w:ascii="宋体" w:hAnsi="宋体" w:cs="宋体"/>
          <w:b/>
          <w:bCs/>
        </w:rPr>
      </w:pPr>
      <w:bookmarkStart w:id="417" w:name="_Toc989364"/>
      <w:r>
        <w:rPr>
          <w:rFonts w:ascii="宋体" w:hAnsi="宋体" w:cs="宋体"/>
          <w:b/>
          <w:bCs/>
        </w:rPr>
        <w:t>3、本企业合营和联营企业情况</w:t>
      </w:r>
      <w:bookmarkEnd w:id="417"/>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本企业重要的合营或联营企业详见</w:t>
      </w:r>
      <w:proofErr w:type="gramStart"/>
      <w:r>
        <w:rPr>
          <w:rFonts w:ascii="宋体" w:eastAsia="宋体" w:hAnsi="宋体" w:cs="宋体"/>
          <w:sz w:val="18"/>
          <w:szCs w:val="18"/>
        </w:rPr>
        <w:t>附注附注</w:t>
      </w:r>
      <w:proofErr w:type="gramEnd"/>
      <w:r>
        <w:rPr>
          <w:rFonts w:ascii="宋体" w:eastAsia="宋体" w:hAnsi="宋体" w:cs="宋体"/>
          <w:sz w:val="18"/>
          <w:szCs w:val="18"/>
        </w:rPr>
        <w:t>七</w:t>
      </w:r>
      <w:proofErr w:type="gramStart"/>
      <w:r>
        <w:rPr>
          <w:rFonts w:ascii="宋体" w:eastAsia="宋体" w:hAnsi="宋体" w:cs="宋体"/>
          <w:sz w:val="18"/>
          <w:szCs w:val="18"/>
        </w:rPr>
        <w:t>18</w:t>
      </w:r>
      <w:proofErr w:type="gramEnd"/>
      <w:r>
        <w:rPr>
          <w:rFonts w:ascii="宋体" w:eastAsia="宋体" w:hAnsi="宋体" w:cs="宋体"/>
          <w:sz w:val="18"/>
          <w:szCs w:val="18"/>
        </w:rPr>
        <w:t>.长期股权投资。</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合营或联营企业名称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与本企业关系</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东莞沙田丽海纺织印染有限公司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江阴福汇纺织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盐城福汇纺织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汉盛有限公司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2023年11月28日前系本公司子公司联营企业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公司实际控制人孙伟挺在该公司担任董事</w:t>
            </w:r>
          </w:p>
        </w:tc>
      </w:tr>
    </w:tbl>
    <w:p w:rsidR="00BE788E" w:rsidRPr="00223D69" w:rsidRDefault="00BE788E" w:rsidP="00223D69">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223D69">
        <w:rPr>
          <w:rFonts w:ascii="宋体" w:eastAsia="宋体" w:hAnsi="宋体" w:cs="宋体" w:hint="eastAsia"/>
          <w:sz w:val="18"/>
          <w:szCs w:val="18"/>
        </w:rPr>
        <w:t>：</w:t>
      </w:r>
      <w:r w:rsidR="00223D69">
        <w:rPr>
          <w:rFonts w:hint="eastAsia"/>
          <w:sz w:val="18"/>
          <w:szCs w:val="18"/>
        </w:rPr>
        <w:t>无</w:t>
      </w:r>
    </w:p>
    <w:p w:rsidR="00037019" w:rsidRDefault="00BE788E">
      <w:pPr>
        <w:pStyle w:val="3"/>
        <w:spacing w:line="280" w:lineRule="exact"/>
        <w:jc w:val="left"/>
        <w:rPr>
          <w:rFonts w:ascii="宋体" w:hAnsi="宋体" w:cs="宋体"/>
          <w:b/>
          <w:bCs/>
        </w:rPr>
      </w:pPr>
      <w:bookmarkStart w:id="418" w:name="_Toc989365"/>
      <w:r>
        <w:rPr>
          <w:rFonts w:ascii="宋体" w:hAnsi="宋体" w:cs="宋体"/>
          <w:b/>
          <w:bCs/>
        </w:rPr>
        <w:lastRenderedPageBreak/>
        <w:t>4、其他关联方情况</w:t>
      </w:r>
      <w:bookmarkEnd w:id="418"/>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3701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其他关联方与本企业关系</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实际控制人控制的公司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浙江万孚投资集团有限公司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本公司股东、实际控制人控制的公司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浙江万孚物业管理</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本公司股东、与本公司为同一控股股东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本公司持有5%的股权</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控股子公司少数股东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孙伟挺，陈玲芬，陈翰，刁英峰，高卫东，</w:t>
            </w:r>
            <w:r w:rsidR="0031624D">
              <w:rPr>
                <w:rFonts w:ascii="宋体" w:eastAsia="宋体" w:hAnsi="宋体" w:cs="宋体"/>
                <w:sz w:val="18"/>
                <w:szCs w:val="18"/>
              </w:rPr>
              <w:t>孔祥云，</w:t>
            </w:r>
            <w:r>
              <w:rPr>
                <w:rFonts w:ascii="宋体" w:eastAsia="宋体" w:hAnsi="宋体" w:cs="宋体"/>
                <w:sz w:val="18"/>
                <w:szCs w:val="18"/>
              </w:rPr>
              <w:t>黄亚英，程桂松，王国友，张正，盛永月，熊旭锋，宣刚江，宋海涛，</w:t>
            </w:r>
            <w:proofErr w:type="gramStart"/>
            <w:r>
              <w:rPr>
                <w:rFonts w:ascii="宋体" w:eastAsia="宋体" w:hAnsi="宋体" w:cs="宋体"/>
                <w:sz w:val="18"/>
                <w:szCs w:val="18"/>
              </w:rPr>
              <w:t>张际松</w:t>
            </w:r>
            <w:proofErr w:type="gramEnd"/>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本公司董事、监事及其他高级管理人员</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其他关联方</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淡安（江苏）健康产业有限公司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传澄文化</w:t>
            </w:r>
            <w:proofErr w:type="gramEnd"/>
            <w:r>
              <w:rPr>
                <w:rFonts w:ascii="宋体" w:eastAsia="宋体" w:hAnsi="宋体" w:cs="宋体"/>
                <w:sz w:val="18"/>
                <w:szCs w:val="18"/>
              </w:rPr>
              <w:t>传播有限公司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市大澄企业管理</w:t>
            </w:r>
            <w:proofErr w:type="gramEnd"/>
            <w:r>
              <w:rPr>
                <w:rFonts w:ascii="宋体" w:eastAsia="宋体" w:hAnsi="宋体" w:cs="宋体"/>
                <w:sz w:val="18"/>
                <w:szCs w:val="18"/>
              </w:rPr>
              <w:t>合伙企业（有限合伙）</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持有子公司阿克苏银星物流有限公司20%股份</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2023年6月前系合并范围内子公司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2023年7月前系合并范围内子公司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2023年8月前系合并范围内子公司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阿克苏地区华孚纺织职业培训学校</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安徽昊泰纺织有限公司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浙江万孚投资集团有限公司控股子公司，孙伟挺担任法定代表人</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2023年9月前系合并范围内子公司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钟耀栋、蔡姗妮</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控股子公司浙江</w:t>
            </w:r>
            <w:proofErr w:type="gramStart"/>
            <w:r>
              <w:rPr>
                <w:rFonts w:ascii="宋体" w:eastAsia="宋体" w:hAnsi="宋体" w:cs="宋体"/>
                <w:sz w:val="18"/>
                <w:szCs w:val="18"/>
              </w:rPr>
              <w:t>鲲驰小</w:t>
            </w:r>
            <w:proofErr w:type="gramEnd"/>
            <w:r>
              <w:rPr>
                <w:rFonts w:ascii="宋体" w:eastAsia="宋体" w:hAnsi="宋体" w:cs="宋体"/>
                <w:sz w:val="18"/>
                <w:szCs w:val="18"/>
              </w:rPr>
              <w:t>股东</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2023年11月前系浙江鲲驰子公司</w:t>
            </w:r>
          </w:p>
        </w:tc>
      </w:tr>
      <w:tr w:rsidR="00037019" w:rsidTr="00223D69">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新疆生产建设兵团第七</w:t>
            </w:r>
            <w:proofErr w:type="gramStart"/>
            <w:r>
              <w:rPr>
                <w:rFonts w:ascii="宋体" w:eastAsia="宋体" w:hAnsi="宋体" w:cs="宋体"/>
                <w:sz w:val="18"/>
                <w:szCs w:val="18"/>
              </w:rPr>
              <w:t>师国有</w:t>
            </w:r>
            <w:proofErr w:type="gramEnd"/>
            <w:r>
              <w:rPr>
                <w:rFonts w:ascii="宋体" w:eastAsia="宋体" w:hAnsi="宋体" w:cs="宋体"/>
                <w:sz w:val="18"/>
                <w:szCs w:val="18"/>
              </w:rPr>
              <w:t>资本投资运营集团有限公司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2021年2月前系持有</w:t>
            </w:r>
            <w:proofErr w:type="gramStart"/>
            <w:r>
              <w:rPr>
                <w:rFonts w:ascii="宋体" w:eastAsia="宋体" w:hAnsi="宋体" w:cs="宋体"/>
                <w:sz w:val="18"/>
                <w:szCs w:val="18"/>
              </w:rPr>
              <w:t>奎屯锦孚</w:t>
            </w:r>
            <w:proofErr w:type="gramEnd"/>
            <w:r>
              <w:rPr>
                <w:rFonts w:ascii="宋体" w:eastAsia="宋体" w:hAnsi="宋体" w:cs="宋体"/>
                <w:sz w:val="18"/>
                <w:szCs w:val="18"/>
              </w:rPr>
              <w:t>33%的小股东</w:t>
            </w:r>
          </w:p>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pStyle w:val="3"/>
        <w:spacing w:line="280" w:lineRule="exact"/>
        <w:jc w:val="left"/>
        <w:rPr>
          <w:rFonts w:ascii="宋体" w:hAnsi="宋体" w:cs="宋体"/>
          <w:b/>
          <w:bCs/>
        </w:rPr>
      </w:pPr>
      <w:bookmarkStart w:id="419" w:name="_Toc989366"/>
      <w:r>
        <w:rPr>
          <w:rFonts w:ascii="宋体" w:hAnsi="宋体" w:cs="宋体"/>
          <w:b/>
          <w:bCs/>
        </w:rPr>
        <w:t>5、关联交易情况</w:t>
      </w:r>
      <w:bookmarkEnd w:id="419"/>
    </w:p>
    <w:p w:rsidR="00037019" w:rsidRDefault="00BE788E">
      <w:pPr>
        <w:keepNext/>
        <w:keepLines/>
        <w:spacing w:before="300" w:after="300" w:line="280" w:lineRule="exact"/>
        <w:outlineLvl w:val="3"/>
        <w:rPr>
          <w:rFonts w:ascii="宋体" w:eastAsia="宋体" w:hAnsi="宋体" w:cs="宋体"/>
          <w:b/>
          <w:bCs/>
          <w:szCs w:val="21"/>
        </w:rPr>
      </w:pPr>
      <w:bookmarkStart w:id="420" w:name="_Toc989367"/>
      <w:r>
        <w:rPr>
          <w:rFonts w:ascii="宋体" w:eastAsia="宋体" w:hAnsi="宋体" w:cs="宋体"/>
          <w:b/>
          <w:bCs/>
          <w:szCs w:val="21"/>
        </w:rPr>
        <w:t>（1） 购销商品、提供和接受劳务的关联交易</w:t>
      </w:r>
      <w:bookmarkEnd w:id="420"/>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采购商品/接受劳务情况表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8,304,596.70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21,163,993.80</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72,064,214.33</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73,889,791.53</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物业费</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lastRenderedPageBreak/>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信息技术费</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956,531.44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出售商品/提供劳务情况表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27"/>
        <w:gridCol w:w="2137"/>
        <w:gridCol w:w="2137"/>
        <w:gridCol w:w="2138"/>
      </w:tblGrid>
      <w:tr w:rsidR="00037019" w:rsidTr="0031624D">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13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213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3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1624D">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销售纱线</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1,234,691.36</w:t>
            </w:r>
          </w:p>
        </w:tc>
        <w:tc>
          <w:tcPr>
            <w:tcW w:w="213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322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销售纱线</w:t>
            </w:r>
          </w:p>
        </w:tc>
        <w:tc>
          <w:tcPr>
            <w:tcW w:w="213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214.72</w:t>
            </w:r>
          </w:p>
        </w:tc>
        <w:tc>
          <w:tcPr>
            <w:tcW w:w="213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购销商品、提供和接受劳务的关联交易说明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21" w:name="_Toc989368"/>
      <w:r>
        <w:rPr>
          <w:rFonts w:ascii="宋体" w:eastAsia="宋体" w:hAnsi="宋体" w:cs="宋体"/>
          <w:b/>
          <w:bCs/>
          <w:szCs w:val="21"/>
        </w:rPr>
        <w:t>（2） 关联受托管理/承包及委托管理/出包情况</w:t>
      </w:r>
      <w:bookmarkEnd w:id="421"/>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关联托管/承包情况说明</w:t>
      </w:r>
      <w:r w:rsidR="0031624D">
        <w:rPr>
          <w:rFonts w:ascii="宋体" w:eastAsia="宋体" w:hAnsi="宋体" w:cs="宋体" w:hint="eastAsia"/>
          <w:sz w:val="18"/>
          <w:szCs w:val="18"/>
        </w:rPr>
        <w:t>：</w:t>
      </w: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关联管理/出</w:t>
      </w:r>
      <w:proofErr w:type="gramStart"/>
      <w:r>
        <w:rPr>
          <w:rFonts w:ascii="宋体" w:eastAsia="宋体" w:hAnsi="宋体" w:cs="宋体"/>
          <w:sz w:val="18"/>
          <w:szCs w:val="18"/>
        </w:rPr>
        <w:t>包情况</w:t>
      </w:r>
      <w:proofErr w:type="gramEnd"/>
      <w:r>
        <w:rPr>
          <w:rFonts w:ascii="宋体" w:eastAsia="宋体" w:hAnsi="宋体" w:cs="宋体"/>
          <w:sz w:val="18"/>
          <w:szCs w:val="18"/>
        </w:rPr>
        <w:t>说明</w:t>
      </w:r>
      <w:r w:rsidR="0031624D">
        <w:rPr>
          <w:rFonts w:ascii="宋体" w:eastAsia="宋体" w:hAnsi="宋体" w:cs="宋体"/>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22" w:name="_Toc989369"/>
      <w:r>
        <w:rPr>
          <w:rFonts w:ascii="宋体" w:eastAsia="宋体" w:hAnsi="宋体" w:cs="宋体"/>
          <w:b/>
          <w:bCs/>
          <w:szCs w:val="21"/>
        </w:rPr>
        <w:t>（3） 关联租赁情况</w:t>
      </w:r>
      <w:bookmarkEnd w:id="42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本公司作为出租方：</w:t>
      </w:r>
      <w:r w:rsidR="0031624D">
        <w:rPr>
          <w:rFonts w:ascii="宋体" w:eastAsia="宋体" w:hAnsi="宋体" w:cs="宋体"/>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23" w:name="_Toc989370"/>
      <w:r>
        <w:rPr>
          <w:rFonts w:ascii="宋体" w:eastAsia="宋体" w:hAnsi="宋体" w:cs="宋体"/>
          <w:b/>
          <w:bCs/>
          <w:szCs w:val="21"/>
        </w:rPr>
        <w:t>（4） 关联担保情况</w:t>
      </w:r>
      <w:bookmarkEnd w:id="423"/>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本公司作为担保方</w:t>
      </w:r>
      <w:r w:rsidR="0031624D">
        <w:rPr>
          <w:rFonts w:ascii="宋体" w:eastAsia="宋体" w:hAnsi="宋体" w:cs="宋体"/>
          <w:sz w:val="18"/>
          <w:szCs w:val="18"/>
        </w:rPr>
        <w:t>：无</w:t>
      </w:r>
    </w:p>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本公司作为被担保方</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担保是否已经履行完毕</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34,550,000.00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2020年05月19日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2029年05月18日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2024年08月22日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2023年10月12日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2024年09月06日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2023年12月07日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2024年10月11日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2024年01月11日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2024年11月29日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2024年01月26日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49,010,000.00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2024年02月07日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50,990,000.00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2024年02月06日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2024年09月20日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2024年09月25日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2024年09月25日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66,500,000.00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2024年03月26日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2024年08月28日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2025年03月07日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12,656,000.00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2025年03月07日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2024年03月15日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2025年02月24日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37,344,000.00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2024年04月09日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2025年04月03日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2024年12月05日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2024年12月05日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2024年06月18日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2025年05月23日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73,000,000.00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2024年06月18日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2025年05月09日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r w:rsidR="00037019" w:rsidTr="0031624D">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99,400,000.00</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2024年06月24日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2025年06月13日</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rsidP="0031624D">
            <w:pPr>
              <w:spacing w:line="240" w:lineRule="exact"/>
              <w:jc w:val="center"/>
              <w:rPr>
                <w:rFonts w:ascii="宋体" w:eastAsia="宋体" w:hAnsi="宋体" w:cs="宋体"/>
                <w:sz w:val="18"/>
                <w:szCs w:val="18"/>
              </w:rPr>
            </w:pPr>
            <w:r>
              <w:rPr>
                <w:rFonts w:ascii="宋体" w:eastAsia="宋体" w:hAnsi="宋体" w:cs="宋体"/>
                <w:sz w:val="18"/>
                <w:szCs w:val="18"/>
              </w:rPr>
              <w:t>否</w:t>
            </w:r>
          </w:p>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关联担保情况说明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24" w:name="_Toc989371"/>
      <w:r>
        <w:rPr>
          <w:rFonts w:ascii="宋体" w:eastAsia="宋体" w:hAnsi="宋体" w:cs="宋体"/>
          <w:b/>
          <w:bCs/>
          <w:szCs w:val="21"/>
        </w:rPr>
        <w:lastRenderedPageBreak/>
        <w:t>（5） 关联方资金拆借</w:t>
      </w:r>
      <w:bookmarkEnd w:id="424"/>
    </w:p>
    <w:p w:rsidR="00037019" w:rsidRDefault="00BE788E">
      <w:pPr>
        <w:keepNext/>
        <w:keepLines/>
        <w:spacing w:before="300" w:after="300" w:line="280" w:lineRule="exact"/>
        <w:outlineLvl w:val="3"/>
        <w:rPr>
          <w:rFonts w:ascii="宋体" w:eastAsia="宋体" w:hAnsi="宋体" w:cs="宋体"/>
          <w:b/>
          <w:bCs/>
          <w:szCs w:val="21"/>
        </w:rPr>
      </w:pPr>
      <w:bookmarkStart w:id="425" w:name="_Toc989372"/>
      <w:r>
        <w:rPr>
          <w:rFonts w:ascii="宋体" w:eastAsia="宋体" w:hAnsi="宋体" w:cs="宋体"/>
          <w:b/>
          <w:bCs/>
          <w:szCs w:val="21"/>
        </w:rPr>
        <w:t>（6） 关联方资产转让、债务重组情况</w:t>
      </w:r>
      <w:bookmarkEnd w:id="42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2268"/>
        <w:gridCol w:w="2268"/>
        <w:gridCol w:w="1593"/>
      </w:tblGrid>
      <w:tr w:rsidR="00037019" w:rsidTr="0031624D">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2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22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rsidTr="0031624D">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绍兴市上虞区华孚房地产开发有限公司</w:t>
            </w:r>
          </w:p>
        </w:tc>
        <w:tc>
          <w:tcPr>
            <w:tcW w:w="22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出售房屋</w:t>
            </w:r>
          </w:p>
        </w:tc>
        <w:tc>
          <w:tcPr>
            <w:tcW w:w="226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7,182,016.50</w:t>
            </w:r>
          </w:p>
        </w:tc>
        <w:tc>
          <w:tcPr>
            <w:tcW w:w="159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426" w:name="_Toc989373"/>
      <w:r>
        <w:rPr>
          <w:rFonts w:ascii="宋体" w:eastAsia="宋体" w:hAnsi="宋体" w:cs="宋体"/>
          <w:b/>
          <w:bCs/>
          <w:szCs w:val="21"/>
        </w:rPr>
        <w:t>（7） 关键管理人员报酬</w:t>
      </w:r>
      <w:bookmarkEnd w:id="426"/>
    </w:p>
    <w:p w:rsidR="00037019" w:rsidRDefault="00BE788E">
      <w:pPr>
        <w:keepNext/>
        <w:keepLines/>
        <w:spacing w:before="300" w:after="300" w:line="280" w:lineRule="exact"/>
        <w:outlineLvl w:val="3"/>
        <w:rPr>
          <w:rFonts w:ascii="宋体" w:eastAsia="宋体" w:hAnsi="宋体" w:cs="宋体"/>
          <w:b/>
          <w:bCs/>
          <w:szCs w:val="21"/>
        </w:rPr>
      </w:pPr>
      <w:bookmarkStart w:id="427" w:name="_Toc989374"/>
      <w:r>
        <w:rPr>
          <w:rFonts w:ascii="宋体" w:eastAsia="宋体" w:hAnsi="宋体" w:cs="宋体"/>
          <w:b/>
          <w:bCs/>
          <w:szCs w:val="21"/>
        </w:rPr>
        <w:t>（8） 其他关联交易</w:t>
      </w:r>
      <w:bookmarkEnd w:id="427"/>
    </w:p>
    <w:tbl>
      <w:tblPr>
        <w:tblW w:w="9640" w:type="dxa"/>
        <w:tblInd w:w="-132" w:type="dxa"/>
        <w:tblCellMar>
          <w:left w:w="0" w:type="dxa"/>
          <w:right w:w="0" w:type="dxa"/>
        </w:tblCellMar>
        <w:tblLook w:val="04A0" w:firstRow="1" w:lastRow="0" w:firstColumn="1" w:lastColumn="0" w:noHBand="0" w:noVBand="1"/>
      </w:tblPr>
      <w:tblGrid>
        <w:gridCol w:w="2744"/>
        <w:gridCol w:w="3058"/>
        <w:gridCol w:w="1762"/>
        <w:gridCol w:w="2076"/>
      </w:tblGrid>
      <w:tr w:rsidR="00BE788E" w:rsidTr="0031624D">
        <w:trPr>
          <w:divId w:val="740516870"/>
          <w:trHeight w:val="402"/>
        </w:trPr>
        <w:tc>
          <w:tcPr>
            <w:tcW w:w="2744" w:type="dxa"/>
            <w:tcBorders>
              <w:top w:val="single" w:sz="8" w:space="0" w:color="auto"/>
              <w:left w:val="single" w:sz="8" w:space="0" w:color="auto"/>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关联方</w:t>
            </w:r>
          </w:p>
        </w:tc>
        <w:tc>
          <w:tcPr>
            <w:tcW w:w="3058"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关联交易内容</w:t>
            </w:r>
          </w:p>
        </w:tc>
        <w:tc>
          <w:tcPr>
            <w:tcW w:w="1762"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本期发生额</w:t>
            </w:r>
          </w:p>
        </w:tc>
        <w:tc>
          <w:tcPr>
            <w:tcW w:w="2076" w:type="dxa"/>
            <w:tcBorders>
              <w:top w:val="single" w:sz="8" w:space="0" w:color="auto"/>
              <w:left w:val="nil"/>
              <w:bottom w:val="single" w:sz="8" w:space="0" w:color="auto"/>
              <w:right w:val="single" w:sz="8" w:space="0" w:color="auto"/>
            </w:tcBorders>
            <w:shd w:val="clear" w:color="auto" w:fill="D3D3D3"/>
            <w:vAlign w:val="center"/>
            <w:hideMark/>
          </w:tcPr>
          <w:p w:rsidR="00BE788E" w:rsidRDefault="00BE788E">
            <w:pPr>
              <w:jc w:val="center"/>
              <w:rPr>
                <w:rFonts w:ascii="宋体" w:eastAsia="宋体" w:hAnsi="宋体" w:cs="宋体"/>
                <w:sz w:val="18"/>
                <w:szCs w:val="18"/>
              </w:rPr>
            </w:pPr>
            <w:r>
              <w:rPr>
                <w:rFonts w:hint="eastAsia"/>
                <w:sz w:val="18"/>
                <w:szCs w:val="18"/>
              </w:rPr>
              <w:t>上期发生额</w:t>
            </w:r>
          </w:p>
        </w:tc>
      </w:tr>
      <w:tr w:rsidR="00BE788E" w:rsidTr="0031624D">
        <w:trPr>
          <w:divId w:val="740516870"/>
          <w:trHeight w:val="402"/>
        </w:trPr>
        <w:tc>
          <w:tcPr>
            <w:tcW w:w="2744" w:type="dxa"/>
            <w:tcBorders>
              <w:top w:val="single" w:sz="8" w:space="0" w:color="auto"/>
              <w:left w:val="single" w:sz="8" w:space="0" w:color="auto"/>
              <w:bottom w:val="single" w:sz="8" w:space="0" w:color="auto"/>
              <w:right w:val="single" w:sz="8" w:space="0" w:color="auto"/>
            </w:tcBorders>
            <w:shd w:val="clear" w:color="auto" w:fill="D3D3D3"/>
            <w:vAlign w:val="center"/>
            <w:hideMark/>
          </w:tcPr>
          <w:p w:rsidR="00BE788E" w:rsidRDefault="00BE788E">
            <w:pPr>
              <w:rPr>
                <w:rFonts w:ascii="宋体" w:eastAsia="宋体" w:hAnsi="宋体" w:cs="宋体"/>
                <w:sz w:val="18"/>
                <w:szCs w:val="18"/>
              </w:rPr>
            </w:pPr>
            <w:r>
              <w:rPr>
                <w:rFonts w:hint="eastAsia"/>
                <w:sz w:val="18"/>
                <w:szCs w:val="18"/>
              </w:rPr>
              <w:t>浙江华孚网链投资管理有限公司</w:t>
            </w:r>
          </w:p>
        </w:tc>
        <w:tc>
          <w:tcPr>
            <w:tcW w:w="3058" w:type="dxa"/>
            <w:tcBorders>
              <w:top w:val="nil"/>
              <w:left w:val="nil"/>
              <w:bottom w:val="single" w:sz="8" w:space="0" w:color="auto"/>
              <w:right w:val="single" w:sz="8" w:space="0" w:color="auto"/>
            </w:tcBorders>
            <w:shd w:val="clear" w:color="auto" w:fill="FFFFFF"/>
            <w:vAlign w:val="center"/>
            <w:hideMark/>
          </w:tcPr>
          <w:p w:rsidR="00BE788E" w:rsidRDefault="00BE788E">
            <w:pPr>
              <w:rPr>
                <w:rFonts w:ascii="宋体" w:eastAsia="宋体" w:hAnsi="宋体" w:cs="宋体"/>
                <w:sz w:val="18"/>
                <w:szCs w:val="18"/>
              </w:rPr>
            </w:pPr>
            <w:r>
              <w:rPr>
                <w:rFonts w:hint="eastAsia"/>
                <w:sz w:val="18"/>
                <w:szCs w:val="18"/>
              </w:rPr>
              <w:t>购买土地使用权及房屋建筑物</w:t>
            </w:r>
          </w:p>
        </w:tc>
        <w:tc>
          <w:tcPr>
            <w:tcW w:w="1762" w:type="dxa"/>
            <w:tcBorders>
              <w:top w:val="nil"/>
              <w:left w:val="nil"/>
              <w:bottom w:val="single" w:sz="8" w:space="0" w:color="auto"/>
              <w:right w:val="single" w:sz="8" w:space="0" w:color="auto"/>
            </w:tcBorders>
            <w:shd w:val="clear" w:color="auto" w:fill="FFFFFF"/>
            <w:vAlign w:val="center"/>
            <w:hideMark/>
          </w:tcPr>
          <w:p w:rsidR="00BE788E" w:rsidRDefault="00BE788E">
            <w:pPr>
              <w:jc w:val="right"/>
              <w:rPr>
                <w:rFonts w:ascii="Times New Roman" w:eastAsia="宋体" w:hAnsi="Times New Roman" w:cs="Times New Roman"/>
                <w:sz w:val="18"/>
                <w:szCs w:val="18"/>
              </w:rPr>
            </w:pPr>
            <w:r>
              <w:rPr>
                <w:rFonts w:ascii="Times New Roman" w:hAnsi="Times New Roman" w:cs="Times New Roman"/>
                <w:sz w:val="18"/>
                <w:szCs w:val="18"/>
              </w:rPr>
              <w:t>277,064,220.18</w:t>
            </w:r>
          </w:p>
        </w:tc>
        <w:tc>
          <w:tcPr>
            <w:tcW w:w="2076" w:type="dxa"/>
            <w:tcBorders>
              <w:top w:val="nil"/>
              <w:left w:val="nil"/>
              <w:bottom w:val="single" w:sz="8" w:space="0" w:color="auto"/>
              <w:right w:val="single" w:sz="8" w:space="0" w:color="auto"/>
            </w:tcBorders>
            <w:shd w:val="clear" w:color="auto" w:fill="FFFFFF"/>
            <w:vAlign w:val="center"/>
            <w:hideMark/>
          </w:tcPr>
          <w:p w:rsidR="00BE788E" w:rsidRDefault="00BE788E">
            <w:pPr>
              <w:jc w:val="right"/>
              <w:rPr>
                <w:rFonts w:ascii="Times New Roman" w:eastAsia="宋体" w:hAnsi="Times New Roman" w:cs="Times New Roman"/>
                <w:sz w:val="18"/>
                <w:szCs w:val="18"/>
              </w:rPr>
            </w:pPr>
            <w:r>
              <w:rPr>
                <w:rFonts w:ascii="Times New Roman" w:hAnsi="Times New Roman" w:cs="Times New Roman"/>
                <w:sz w:val="18"/>
                <w:szCs w:val="18"/>
              </w:rPr>
              <w:t>                                          -  </w:t>
            </w:r>
          </w:p>
        </w:tc>
      </w:tr>
    </w:tbl>
    <w:p w:rsidR="00037019" w:rsidRDefault="00BE788E">
      <w:pPr>
        <w:pStyle w:val="3"/>
        <w:spacing w:line="280" w:lineRule="exact"/>
        <w:jc w:val="left"/>
        <w:rPr>
          <w:rFonts w:ascii="宋体" w:hAnsi="宋体" w:cs="宋体"/>
          <w:b/>
          <w:bCs/>
        </w:rPr>
      </w:pPr>
      <w:bookmarkStart w:id="428" w:name="_Toc989375"/>
      <w:r>
        <w:rPr>
          <w:rFonts w:ascii="宋体" w:hAnsi="宋体" w:cs="宋体"/>
          <w:b/>
          <w:bCs/>
        </w:rPr>
        <w:t>6、关联方应收应付款项</w:t>
      </w:r>
      <w:bookmarkEnd w:id="428"/>
    </w:p>
    <w:p w:rsidR="00037019" w:rsidRDefault="00BE788E">
      <w:pPr>
        <w:keepNext/>
        <w:keepLines/>
        <w:spacing w:before="300" w:after="300" w:line="280" w:lineRule="exact"/>
        <w:outlineLvl w:val="3"/>
        <w:rPr>
          <w:rFonts w:ascii="宋体" w:eastAsia="宋体" w:hAnsi="宋体" w:cs="宋体"/>
          <w:b/>
          <w:bCs/>
          <w:szCs w:val="21"/>
        </w:rPr>
      </w:pPr>
      <w:bookmarkStart w:id="429" w:name="_Toc989376"/>
      <w:r>
        <w:rPr>
          <w:rFonts w:ascii="宋体" w:eastAsia="宋体" w:hAnsi="宋体" w:cs="宋体"/>
          <w:b/>
          <w:bCs/>
          <w:szCs w:val="21"/>
        </w:rPr>
        <w:t>（1） 应收项目</w:t>
      </w:r>
      <w:bookmarkEnd w:id="42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037019" w:rsidTr="0031624D">
        <w:trPr>
          <w:trHeight w:val="240"/>
        </w:trPr>
        <w:tc>
          <w:tcPr>
            <w:tcW w:w="160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rsidTr="0031624D">
        <w:trPr>
          <w:trHeight w:val="240"/>
        </w:trPr>
        <w:tc>
          <w:tcPr>
            <w:tcW w:w="160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112,963.97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11,296.40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112,963.97</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11,296.40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182,000.00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9,100.00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绍兴市上虞区华孚房地产开发有限公司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1,584,562.00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79,228.10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预付账款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3,079,386.96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4,183,152.66</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1,589,181.72</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93,562.80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第七</w:t>
            </w:r>
            <w:proofErr w:type="gramStart"/>
            <w:r>
              <w:rPr>
                <w:rFonts w:ascii="宋体" w:eastAsia="宋体" w:hAnsi="宋体" w:cs="宋体"/>
                <w:sz w:val="18"/>
                <w:szCs w:val="18"/>
              </w:rPr>
              <w:t>师国有</w:t>
            </w:r>
            <w:proofErr w:type="gramEnd"/>
            <w:r>
              <w:rPr>
                <w:rFonts w:ascii="宋体" w:eastAsia="宋体" w:hAnsi="宋体" w:cs="宋体"/>
                <w:sz w:val="18"/>
                <w:szCs w:val="18"/>
              </w:rPr>
              <w:t>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371,904.51</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电子商务有限公司及其子公司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21,918,666.28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7,073,971.96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7,078,495.11</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321,151.93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16,057.60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55,882.00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2,794.10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55,882.00</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2,794.10</w:t>
            </w: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14,104.93</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705.25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其他非流动资产</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w:t>
            </w:r>
            <w:r>
              <w:rPr>
                <w:rFonts w:ascii="宋体" w:eastAsia="宋体" w:hAnsi="宋体" w:cs="宋体"/>
                <w:sz w:val="18"/>
                <w:szCs w:val="18"/>
              </w:rPr>
              <w:lastRenderedPageBreak/>
              <w:t>资管理有限公司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60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430" w:name="_Toc989377"/>
      <w:r>
        <w:rPr>
          <w:rFonts w:ascii="宋体" w:eastAsia="宋体" w:hAnsi="宋体" w:cs="宋体"/>
          <w:b/>
          <w:bCs/>
          <w:szCs w:val="21"/>
        </w:rPr>
        <w:lastRenderedPageBreak/>
        <w:t>（2） 应付项目</w:t>
      </w:r>
      <w:bookmarkEnd w:id="43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68"/>
        <w:gridCol w:w="3151"/>
        <w:gridCol w:w="2410"/>
        <w:gridCol w:w="2410"/>
      </w:tblGrid>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315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应付账款</w:t>
            </w: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2,478,805.26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5,324,895.70</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50,547,225.44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合同负债</w:t>
            </w: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15,485,619.45</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77,973.54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77,973.54</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98,325.00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100,507.00</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新润气流纺</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516,959.12</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517,275.12</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2,501,897.07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1,441,643.08</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钟耀栋</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1,539,654.00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1,539,654.00</w:t>
            </w:r>
          </w:p>
        </w:tc>
      </w:tr>
      <w:tr w:rsidR="00037019" w:rsidTr="0031624D">
        <w:trPr>
          <w:trHeight w:val="240"/>
        </w:trPr>
        <w:tc>
          <w:tcPr>
            <w:tcW w:w="166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315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泽普棉业有限公司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197,975.45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197,975.45</w:t>
            </w:r>
          </w:p>
        </w:tc>
      </w:tr>
    </w:tbl>
    <w:p w:rsidR="00037019" w:rsidRDefault="00BE788E">
      <w:pPr>
        <w:pStyle w:val="3"/>
        <w:spacing w:line="280" w:lineRule="exact"/>
        <w:jc w:val="left"/>
        <w:rPr>
          <w:rFonts w:ascii="宋体" w:hAnsi="宋体" w:cs="宋体"/>
          <w:b/>
          <w:bCs/>
        </w:rPr>
      </w:pPr>
      <w:bookmarkStart w:id="431" w:name="_Toc989378"/>
      <w:r>
        <w:rPr>
          <w:rFonts w:ascii="宋体" w:hAnsi="宋体" w:cs="宋体"/>
          <w:b/>
          <w:bCs/>
        </w:rPr>
        <w:t>7、关联方承诺</w:t>
      </w:r>
      <w:bookmarkEnd w:id="431"/>
    </w:p>
    <w:p w:rsidR="00BE788E" w:rsidRDefault="0031624D">
      <w:pPr>
        <w:pStyle w:val="a3"/>
        <w:divId w:val="145155878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32" w:name="_Toc989379"/>
      <w:r>
        <w:rPr>
          <w:rFonts w:ascii="宋体" w:hAnsi="宋体" w:cs="宋体"/>
          <w:b/>
          <w:bCs/>
        </w:rPr>
        <w:t>8、其他</w:t>
      </w:r>
      <w:bookmarkEnd w:id="432"/>
    </w:p>
    <w:p w:rsidR="00BE788E" w:rsidRDefault="0031624D">
      <w:pPr>
        <w:pStyle w:val="a3"/>
        <w:divId w:val="1273054727"/>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33" w:name="_Toc989380"/>
      <w:r>
        <w:rPr>
          <w:rFonts w:ascii="宋体" w:eastAsia="宋体" w:hAnsi="宋体" w:cs="宋体"/>
          <w:b/>
          <w:bCs/>
          <w:sz w:val="24"/>
          <w:szCs w:val="24"/>
        </w:rPr>
        <w:t>十五、股份支付</w:t>
      </w:r>
      <w:bookmarkEnd w:id="433"/>
    </w:p>
    <w:p w:rsidR="00037019" w:rsidRDefault="00BE788E">
      <w:pPr>
        <w:pStyle w:val="3"/>
        <w:spacing w:line="280" w:lineRule="exact"/>
        <w:jc w:val="left"/>
        <w:rPr>
          <w:rFonts w:ascii="宋体" w:hAnsi="宋体" w:cs="宋体"/>
          <w:b/>
          <w:bCs/>
        </w:rPr>
      </w:pPr>
      <w:bookmarkStart w:id="434" w:name="_Toc989381"/>
      <w:r>
        <w:rPr>
          <w:rFonts w:ascii="宋体" w:hAnsi="宋体" w:cs="宋体"/>
          <w:b/>
          <w:bCs/>
        </w:rPr>
        <w:t>1、股份支付总体情况</w:t>
      </w:r>
      <w:bookmarkEnd w:id="434"/>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435" w:name="_Toc989382"/>
      <w:r>
        <w:rPr>
          <w:rFonts w:ascii="宋体" w:hAnsi="宋体" w:cs="宋体"/>
          <w:b/>
          <w:bCs/>
        </w:rPr>
        <w:t>2、以权益结算的股份支付情况</w:t>
      </w:r>
      <w:bookmarkEnd w:id="435"/>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436" w:name="_Toc989383"/>
      <w:r>
        <w:rPr>
          <w:rFonts w:ascii="宋体" w:hAnsi="宋体" w:cs="宋体"/>
          <w:b/>
          <w:bCs/>
        </w:rPr>
        <w:t>3、以现金结算的股份支付情况</w:t>
      </w:r>
      <w:bookmarkEnd w:id="436"/>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437" w:name="_Toc989384"/>
      <w:r>
        <w:rPr>
          <w:rFonts w:ascii="宋体" w:hAnsi="宋体" w:cs="宋体"/>
          <w:b/>
          <w:bCs/>
        </w:rPr>
        <w:t>4、本期股份支付费用</w:t>
      </w:r>
      <w:bookmarkEnd w:id="437"/>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438" w:name="_Toc989385"/>
      <w:r>
        <w:rPr>
          <w:rFonts w:ascii="宋体" w:hAnsi="宋体" w:cs="宋体"/>
          <w:b/>
          <w:bCs/>
        </w:rPr>
        <w:t>5、股份支付的修改、终止情况</w:t>
      </w:r>
      <w:bookmarkEnd w:id="438"/>
    </w:p>
    <w:p w:rsidR="00BE788E" w:rsidRDefault="00BE788E">
      <w:pPr>
        <w:pStyle w:val="a3"/>
        <w:divId w:val="58572737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39" w:name="_Toc989386"/>
      <w:r>
        <w:rPr>
          <w:rFonts w:ascii="宋体" w:hAnsi="宋体" w:cs="宋体"/>
          <w:b/>
          <w:bCs/>
        </w:rPr>
        <w:lastRenderedPageBreak/>
        <w:t xml:space="preserve">6、其他 </w:t>
      </w:r>
      <w:bookmarkEnd w:id="439"/>
    </w:p>
    <w:p w:rsidR="00BE788E" w:rsidRDefault="00BE788E">
      <w:pPr>
        <w:pStyle w:val="a3"/>
        <w:divId w:val="932013962"/>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40" w:name="_Toc989387"/>
      <w:r>
        <w:rPr>
          <w:rFonts w:ascii="宋体" w:eastAsia="宋体" w:hAnsi="宋体" w:cs="宋体"/>
          <w:b/>
          <w:bCs/>
          <w:sz w:val="24"/>
          <w:szCs w:val="24"/>
        </w:rPr>
        <w:t>十六、承诺及或有事项</w:t>
      </w:r>
      <w:bookmarkEnd w:id="440"/>
    </w:p>
    <w:p w:rsidR="00037019" w:rsidRDefault="00BE788E">
      <w:pPr>
        <w:pStyle w:val="3"/>
        <w:spacing w:line="280" w:lineRule="exact"/>
        <w:jc w:val="left"/>
        <w:rPr>
          <w:rFonts w:ascii="宋体" w:hAnsi="宋体" w:cs="宋体"/>
          <w:b/>
          <w:bCs/>
        </w:rPr>
      </w:pPr>
      <w:bookmarkStart w:id="441" w:name="_Toc989388"/>
      <w:r>
        <w:rPr>
          <w:rFonts w:ascii="宋体" w:hAnsi="宋体" w:cs="宋体"/>
          <w:b/>
          <w:bCs/>
        </w:rPr>
        <w:t>1、重要承诺事项</w:t>
      </w:r>
      <w:bookmarkEnd w:id="441"/>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资产负债表</w:t>
      </w:r>
      <w:proofErr w:type="gramStart"/>
      <w:r>
        <w:rPr>
          <w:rFonts w:ascii="宋体" w:eastAsia="宋体" w:hAnsi="宋体" w:cs="宋体"/>
          <w:sz w:val="18"/>
          <w:szCs w:val="18"/>
        </w:rPr>
        <w:t>日存在</w:t>
      </w:r>
      <w:proofErr w:type="gramEnd"/>
      <w:r>
        <w:rPr>
          <w:rFonts w:ascii="宋体" w:eastAsia="宋体" w:hAnsi="宋体" w:cs="宋体"/>
          <w:sz w:val="18"/>
          <w:szCs w:val="18"/>
        </w:rPr>
        <w:t>的重要承诺</w:t>
      </w:r>
    </w:p>
    <w:p w:rsidR="00BE788E" w:rsidRDefault="00BE788E" w:rsidP="0031624D">
      <w:pPr>
        <w:pStyle w:val="a3"/>
        <w:spacing w:before="0" w:beforeAutospacing="0" w:after="0" w:afterAutospacing="0" w:line="360" w:lineRule="auto"/>
        <w:jc w:val="both"/>
        <w:divId w:val="1122764787"/>
      </w:pPr>
      <w:r>
        <w:rPr>
          <w:rFonts w:hint="eastAsia"/>
          <w:sz w:val="18"/>
          <w:szCs w:val="18"/>
        </w:rPr>
        <w:t>本公司不存在需要披露的重要或有事项。</w:t>
      </w:r>
    </w:p>
    <w:p w:rsidR="00037019" w:rsidRDefault="00BE788E">
      <w:pPr>
        <w:pStyle w:val="3"/>
        <w:spacing w:line="280" w:lineRule="exact"/>
        <w:jc w:val="left"/>
        <w:rPr>
          <w:rFonts w:ascii="宋体" w:hAnsi="宋体" w:cs="宋体"/>
          <w:b/>
          <w:bCs/>
        </w:rPr>
      </w:pPr>
      <w:bookmarkStart w:id="442" w:name="_Toc989389"/>
      <w:r>
        <w:rPr>
          <w:rFonts w:ascii="宋体" w:hAnsi="宋体" w:cs="宋体"/>
          <w:b/>
          <w:bCs/>
        </w:rPr>
        <w:t>2、或有事项</w:t>
      </w:r>
      <w:bookmarkEnd w:id="442"/>
    </w:p>
    <w:p w:rsidR="00037019" w:rsidRDefault="00BE788E">
      <w:pPr>
        <w:keepNext/>
        <w:keepLines/>
        <w:spacing w:before="300" w:after="300" w:line="280" w:lineRule="exact"/>
        <w:outlineLvl w:val="3"/>
        <w:rPr>
          <w:rFonts w:ascii="宋体" w:eastAsia="宋体" w:hAnsi="宋体" w:cs="宋体"/>
          <w:b/>
          <w:bCs/>
          <w:szCs w:val="21"/>
        </w:rPr>
      </w:pPr>
      <w:bookmarkStart w:id="443" w:name="_Toc989390"/>
      <w:r>
        <w:rPr>
          <w:rFonts w:ascii="宋体" w:eastAsia="宋体" w:hAnsi="宋体" w:cs="宋体"/>
          <w:b/>
          <w:bCs/>
          <w:szCs w:val="21"/>
        </w:rPr>
        <w:t>（1） 资产负债表</w:t>
      </w:r>
      <w:proofErr w:type="gramStart"/>
      <w:r>
        <w:rPr>
          <w:rFonts w:ascii="宋体" w:eastAsia="宋体" w:hAnsi="宋体" w:cs="宋体"/>
          <w:b/>
          <w:bCs/>
          <w:szCs w:val="21"/>
        </w:rPr>
        <w:t>日存在</w:t>
      </w:r>
      <w:proofErr w:type="gramEnd"/>
      <w:r>
        <w:rPr>
          <w:rFonts w:ascii="宋体" w:eastAsia="宋体" w:hAnsi="宋体" w:cs="宋体"/>
          <w:b/>
          <w:bCs/>
          <w:szCs w:val="21"/>
        </w:rPr>
        <w:t>的重要或有事项</w:t>
      </w:r>
      <w:bookmarkEnd w:id="443"/>
    </w:p>
    <w:p w:rsidR="00BE788E" w:rsidRDefault="00BE788E">
      <w:pPr>
        <w:pStyle w:val="a3"/>
        <w:spacing w:beforeAutospacing="0" w:afterAutospacing="0" w:line="240" w:lineRule="atLeast"/>
        <w:divId w:val="1845630450"/>
        <w:rPr>
          <w:rFonts w:ascii="Calibri" w:hAnsi="Calibri" w:cs="Calibri"/>
          <w:sz w:val="21"/>
          <w:szCs w:val="21"/>
        </w:rPr>
      </w:pPr>
      <w:r>
        <w:rPr>
          <w:rFonts w:cs="Calibri" w:hint="eastAsia"/>
          <w:sz w:val="18"/>
          <w:szCs w:val="18"/>
        </w:rPr>
        <w:t>公司不存在需要披露的重要或有事项。</w:t>
      </w:r>
    </w:p>
    <w:p w:rsidR="00037019" w:rsidRDefault="00BE788E">
      <w:pPr>
        <w:keepNext/>
        <w:keepLines/>
        <w:spacing w:before="300" w:after="300" w:line="280" w:lineRule="exact"/>
        <w:outlineLvl w:val="3"/>
        <w:rPr>
          <w:rFonts w:ascii="宋体" w:eastAsia="宋体" w:hAnsi="宋体" w:cs="宋体"/>
          <w:b/>
          <w:bCs/>
          <w:szCs w:val="21"/>
        </w:rPr>
      </w:pPr>
      <w:bookmarkStart w:id="444" w:name="_Toc989391"/>
      <w:r>
        <w:rPr>
          <w:rFonts w:ascii="宋体" w:eastAsia="宋体" w:hAnsi="宋体" w:cs="宋体"/>
          <w:b/>
          <w:bCs/>
          <w:szCs w:val="21"/>
        </w:rPr>
        <w:t>（2） 公司没有需要披露的重要或有事项，也应予以说明</w:t>
      </w:r>
      <w:bookmarkEnd w:id="444"/>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公司不存在需要披露的重要或有事项。</w:t>
      </w:r>
    </w:p>
    <w:p w:rsidR="00037019" w:rsidRDefault="00BE788E">
      <w:pPr>
        <w:pStyle w:val="3"/>
        <w:spacing w:line="280" w:lineRule="exact"/>
        <w:jc w:val="left"/>
        <w:rPr>
          <w:rFonts w:ascii="宋体" w:hAnsi="宋体" w:cs="宋体"/>
          <w:b/>
          <w:bCs/>
        </w:rPr>
      </w:pPr>
      <w:bookmarkStart w:id="445" w:name="_Toc989392"/>
      <w:r>
        <w:rPr>
          <w:rFonts w:ascii="宋体" w:hAnsi="宋体" w:cs="宋体"/>
          <w:b/>
          <w:bCs/>
        </w:rPr>
        <w:t>3、其他</w:t>
      </w:r>
      <w:bookmarkEnd w:id="445"/>
    </w:p>
    <w:p w:rsidR="00BE788E" w:rsidRDefault="00BE788E">
      <w:pPr>
        <w:pStyle w:val="a3"/>
        <w:divId w:val="35207124"/>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46" w:name="_Toc989393"/>
      <w:r>
        <w:rPr>
          <w:rFonts w:ascii="宋体" w:eastAsia="宋体" w:hAnsi="宋体" w:cs="宋体"/>
          <w:b/>
          <w:bCs/>
          <w:sz w:val="24"/>
          <w:szCs w:val="24"/>
        </w:rPr>
        <w:t>十七、资产负债表日后事项</w:t>
      </w:r>
      <w:bookmarkEnd w:id="446"/>
    </w:p>
    <w:p w:rsidR="00037019" w:rsidRDefault="00BE788E">
      <w:pPr>
        <w:pStyle w:val="3"/>
        <w:spacing w:line="280" w:lineRule="exact"/>
        <w:jc w:val="left"/>
        <w:rPr>
          <w:rFonts w:ascii="宋体" w:hAnsi="宋体" w:cs="宋体"/>
          <w:b/>
          <w:bCs/>
        </w:rPr>
      </w:pPr>
      <w:bookmarkStart w:id="447" w:name="_Toc989394"/>
      <w:r>
        <w:rPr>
          <w:rFonts w:ascii="宋体" w:hAnsi="宋体" w:cs="宋体"/>
          <w:b/>
          <w:bCs/>
        </w:rPr>
        <w:t>1、重要的非调整事项</w:t>
      </w:r>
      <w:bookmarkEnd w:id="447"/>
    </w:p>
    <w:p w:rsidR="00037019" w:rsidRDefault="00BE788E">
      <w:pPr>
        <w:pStyle w:val="3"/>
        <w:spacing w:line="280" w:lineRule="exact"/>
        <w:jc w:val="left"/>
        <w:rPr>
          <w:rFonts w:ascii="宋体" w:hAnsi="宋体" w:cs="宋体"/>
          <w:b/>
          <w:bCs/>
        </w:rPr>
      </w:pPr>
      <w:bookmarkStart w:id="448" w:name="_Toc989395"/>
      <w:r>
        <w:rPr>
          <w:rFonts w:ascii="宋体" w:hAnsi="宋体" w:cs="宋体"/>
          <w:b/>
          <w:bCs/>
        </w:rPr>
        <w:t>2、利润分配情况</w:t>
      </w:r>
      <w:bookmarkEnd w:id="448"/>
    </w:p>
    <w:p w:rsidR="00037019" w:rsidRDefault="00BE788E">
      <w:pPr>
        <w:pStyle w:val="3"/>
        <w:spacing w:line="280" w:lineRule="exact"/>
        <w:jc w:val="left"/>
        <w:rPr>
          <w:rFonts w:ascii="宋体" w:hAnsi="宋体" w:cs="宋体"/>
          <w:b/>
          <w:bCs/>
        </w:rPr>
      </w:pPr>
      <w:bookmarkStart w:id="449" w:name="_Toc989396"/>
      <w:r>
        <w:rPr>
          <w:rFonts w:ascii="宋体" w:hAnsi="宋体" w:cs="宋体"/>
          <w:b/>
          <w:bCs/>
        </w:rPr>
        <w:t>3、销售退回</w:t>
      </w:r>
      <w:bookmarkEnd w:id="449"/>
    </w:p>
    <w:p w:rsidR="00BE788E" w:rsidRDefault="00BE788E">
      <w:pPr>
        <w:pStyle w:val="a3"/>
        <w:divId w:val="127909692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50" w:name="_Toc989397"/>
      <w:r>
        <w:rPr>
          <w:rFonts w:ascii="宋体" w:hAnsi="宋体" w:cs="宋体"/>
          <w:b/>
          <w:bCs/>
        </w:rPr>
        <w:t>4、其他资产负债表日后事项说明</w:t>
      </w:r>
      <w:bookmarkEnd w:id="450"/>
    </w:p>
    <w:p w:rsidR="00BE788E" w:rsidRDefault="00BE788E">
      <w:pPr>
        <w:pStyle w:val="a3"/>
        <w:divId w:val="1457330926"/>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51" w:name="_Toc989398"/>
      <w:r>
        <w:rPr>
          <w:rFonts w:ascii="宋体" w:eastAsia="宋体" w:hAnsi="宋体" w:cs="宋体"/>
          <w:b/>
          <w:bCs/>
          <w:sz w:val="24"/>
          <w:szCs w:val="24"/>
        </w:rPr>
        <w:lastRenderedPageBreak/>
        <w:t>十八、其他重要事项</w:t>
      </w:r>
      <w:bookmarkEnd w:id="451"/>
    </w:p>
    <w:p w:rsidR="00037019" w:rsidRDefault="00BE788E">
      <w:pPr>
        <w:pStyle w:val="3"/>
        <w:spacing w:line="280" w:lineRule="exact"/>
        <w:jc w:val="left"/>
        <w:rPr>
          <w:rFonts w:ascii="宋体" w:hAnsi="宋体" w:cs="宋体"/>
          <w:b/>
          <w:bCs/>
        </w:rPr>
      </w:pPr>
      <w:bookmarkStart w:id="452" w:name="_Toc989399"/>
      <w:r>
        <w:rPr>
          <w:rFonts w:ascii="宋体" w:hAnsi="宋体" w:cs="宋体"/>
          <w:b/>
          <w:bCs/>
        </w:rPr>
        <w:t>1、前期会计差错更正</w:t>
      </w:r>
      <w:bookmarkEnd w:id="452"/>
    </w:p>
    <w:p w:rsidR="00037019" w:rsidRDefault="00BE788E">
      <w:pPr>
        <w:keepNext/>
        <w:keepLines/>
        <w:spacing w:before="300" w:after="300" w:line="280" w:lineRule="exact"/>
        <w:outlineLvl w:val="3"/>
        <w:rPr>
          <w:rFonts w:ascii="宋体" w:eastAsia="宋体" w:hAnsi="宋体" w:cs="宋体"/>
          <w:b/>
          <w:bCs/>
          <w:szCs w:val="21"/>
        </w:rPr>
      </w:pPr>
      <w:bookmarkStart w:id="453" w:name="_Toc989400"/>
      <w:r>
        <w:rPr>
          <w:rFonts w:ascii="宋体" w:eastAsia="宋体" w:hAnsi="宋体" w:cs="宋体"/>
          <w:b/>
          <w:bCs/>
          <w:szCs w:val="21"/>
        </w:rPr>
        <w:t>（1） 追溯重述法</w:t>
      </w:r>
      <w:bookmarkEnd w:id="453"/>
    </w:p>
    <w:p w:rsidR="00037019" w:rsidRDefault="00BE788E">
      <w:pPr>
        <w:keepNext/>
        <w:keepLines/>
        <w:spacing w:before="300" w:after="300" w:line="280" w:lineRule="exact"/>
        <w:outlineLvl w:val="3"/>
        <w:rPr>
          <w:rFonts w:ascii="宋体" w:eastAsia="宋体" w:hAnsi="宋体" w:cs="宋体"/>
          <w:b/>
          <w:bCs/>
          <w:szCs w:val="21"/>
        </w:rPr>
      </w:pPr>
      <w:bookmarkStart w:id="454" w:name="_Toc989401"/>
      <w:r>
        <w:rPr>
          <w:rFonts w:ascii="宋体" w:eastAsia="宋体" w:hAnsi="宋体" w:cs="宋体"/>
          <w:b/>
          <w:bCs/>
          <w:szCs w:val="21"/>
        </w:rPr>
        <w:t>（2） 未来适用法</w:t>
      </w:r>
      <w:bookmarkEnd w:id="454"/>
    </w:p>
    <w:p w:rsidR="00037019" w:rsidRDefault="00BE788E">
      <w:pPr>
        <w:pStyle w:val="3"/>
        <w:spacing w:line="280" w:lineRule="exact"/>
        <w:jc w:val="left"/>
        <w:rPr>
          <w:rFonts w:ascii="宋体" w:hAnsi="宋体" w:cs="宋体"/>
          <w:b/>
          <w:bCs/>
        </w:rPr>
      </w:pPr>
      <w:bookmarkStart w:id="455" w:name="_Toc989402"/>
      <w:r>
        <w:rPr>
          <w:rFonts w:ascii="宋体" w:hAnsi="宋体" w:cs="宋体"/>
          <w:b/>
          <w:bCs/>
        </w:rPr>
        <w:t>2、债务重组</w:t>
      </w:r>
      <w:bookmarkEnd w:id="455"/>
    </w:p>
    <w:p w:rsidR="00BE788E" w:rsidRDefault="00BE788E">
      <w:pPr>
        <w:pStyle w:val="a3"/>
        <w:divId w:val="622004317"/>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56" w:name="_Toc989403"/>
      <w:r>
        <w:rPr>
          <w:rFonts w:ascii="宋体" w:hAnsi="宋体" w:cs="宋体"/>
          <w:b/>
          <w:bCs/>
        </w:rPr>
        <w:t>3、资产置换</w:t>
      </w:r>
      <w:bookmarkEnd w:id="456"/>
    </w:p>
    <w:p w:rsidR="00037019" w:rsidRDefault="00BE788E">
      <w:pPr>
        <w:keepNext/>
        <w:keepLines/>
        <w:spacing w:before="300" w:after="300" w:line="280" w:lineRule="exact"/>
        <w:outlineLvl w:val="3"/>
        <w:rPr>
          <w:rFonts w:ascii="宋体" w:eastAsia="宋体" w:hAnsi="宋体" w:cs="宋体"/>
          <w:b/>
          <w:bCs/>
          <w:szCs w:val="21"/>
        </w:rPr>
      </w:pPr>
      <w:bookmarkStart w:id="457" w:name="_Toc989404"/>
      <w:r>
        <w:rPr>
          <w:rFonts w:ascii="宋体" w:eastAsia="宋体" w:hAnsi="宋体" w:cs="宋体"/>
          <w:b/>
          <w:bCs/>
          <w:szCs w:val="21"/>
        </w:rPr>
        <w:t>（1） 非货币性资产交换</w:t>
      </w:r>
      <w:bookmarkEnd w:id="457"/>
    </w:p>
    <w:p w:rsidR="00BE788E" w:rsidRDefault="00BE788E">
      <w:pPr>
        <w:pStyle w:val="a3"/>
        <w:divId w:val="1342665301"/>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58" w:name="_Toc989405"/>
      <w:r>
        <w:rPr>
          <w:rFonts w:ascii="宋体" w:eastAsia="宋体" w:hAnsi="宋体" w:cs="宋体"/>
          <w:b/>
          <w:bCs/>
          <w:szCs w:val="21"/>
        </w:rPr>
        <w:t>（2） 其他资产置换</w:t>
      </w:r>
      <w:bookmarkEnd w:id="458"/>
    </w:p>
    <w:p w:rsidR="00BE788E" w:rsidRDefault="00BE788E">
      <w:pPr>
        <w:pStyle w:val="a3"/>
        <w:divId w:val="1388843028"/>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59" w:name="_Toc989406"/>
      <w:r>
        <w:rPr>
          <w:rFonts w:ascii="宋体" w:hAnsi="宋体" w:cs="宋体"/>
          <w:b/>
          <w:bCs/>
        </w:rPr>
        <w:t>4、年金计划</w:t>
      </w:r>
      <w:bookmarkEnd w:id="459"/>
    </w:p>
    <w:p w:rsidR="00BE788E" w:rsidRDefault="00BE788E">
      <w:pPr>
        <w:pStyle w:val="a3"/>
        <w:divId w:val="1318921263"/>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60" w:name="_Toc989407"/>
      <w:r>
        <w:rPr>
          <w:rFonts w:ascii="宋体" w:hAnsi="宋体" w:cs="宋体"/>
          <w:b/>
          <w:bCs/>
        </w:rPr>
        <w:t>5、终止经营</w:t>
      </w:r>
      <w:bookmarkEnd w:id="460"/>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ascii="宋体" w:eastAsia="宋体" w:hAnsi="宋体" w:cs="宋体" w:hint="eastAsia"/>
          <w:sz w:val="18"/>
          <w:szCs w:val="18"/>
        </w:rPr>
        <w:t>：</w:t>
      </w:r>
      <w:r w:rsidR="0031624D">
        <w:rPr>
          <w:rFonts w:hint="eastAsia"/>
          <w:sz w:val="18"/>
          <w:szCs w:val="18"/>
        </w:rPr>
        <w:t>无</w:t>
      </w:r>
    </w:p>
    <w:p w:rsidR="00037019" w:rsidRDefault="00BE788E">
      <w:pPr>
        <w:pStyle w:val="3"/>
        <w:spacing w:line="280" w:lineRule="exact"/>
        <w:jc w:val="left"/>
        <w:rPr>
          <w:rFonts w:ascii="宋体" w:hAnsi="宋体" w:cs="宋体"/>
          <w:b/>
          <w:bCs/>
        </w:rPr>
      </w:pPr>
      <w:bookmarkStart w:id="461" w:name="_Toc989408"/>
      <w:r>
        <w:rPr>
          <w:rFonts w:ascii="宋体" w:hAnsi="宋体" w:cs="宋体"/>
          <w:b/>
          <w:bCs/>
        </w:rPr>
        <w:t>6、分部信息</w:t>
      </w:r>
      <w:bookmarkEnd w:id="461"/>
    </w:p>
    <w:p w:rsidR="00037019" w:rsidRDefault="00BE788E">
      <w:pPr>
        <w:keepNext/>
        <w:keepLines/>
        <w:spacing w:before="300" w:after="300" w:line="280" w:lineRule="exact"/>
        <w:outlineLvl w:val="3"/>
        <w:rPr>
          <w:rFonts w:ascii="宋体" w:eastAsia="宋体" w:hAnsi="宋体" w:cs="宋体"/>
          <w:b/>
          <w:bCs/>
          <w:szCs w:val="21"/>
        </w:rPr>
      </w:pPr>
      <w:bookmarkStart w:id="462" w:name="_Toc989409"/>
      <w:r>
        <w:rPr>
          <w:rFonts w:ascii="宋体" w:eastAsia="宋体" w:hAnsi="宋体" w:cs="宋体"/>
          <w:b/>
          <w:bCs/>
          <w:szCs w:val="21"/>
        </w:rPr>
        <w:t>（1） 报告分部的确定依据与会计政策</w:t>
      </w:r>
      <w:bookmarkEnd w:id="462"/>
    </w:p>
    <w:p w:rsidR="00BE788E" w:rsidRDefault="00BE788E">
      <w:pPr>
        <w:pStyle w:val="a3"/>
        <w:divId w:val="2059281587"/>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63" w:name="_Toc989410"/>
      <w:r>
        <w:rPr>
          <w:rFonts w:ascii="宋体" w:eastAsia="宋体" w:hAnsi="宋体" w:cs="宋体"/>
          <w:b/>
          <w:bCs/>
          <w:szCs w:val="21"/>
        </w:rPr>
        <w:t>（2） 报告分部的财务信息</w:t>
      </w:r>
      <w:bookmarkEnd w:id="463"/>
    </w:p>
    <w:p w:rsidR="00037019" w:rsidRDefault="00BE788E">
      <w:pPr>
        <w:keepNext/>
        <w:keepLines/>
        <w:spacing w:before="300" w:after="300" w:line="280" w:lineRule="exact"/>
        <w:outlineLvl w:val="3"/>
        <w:rPr>
          <w:rFonts w:ascii="宋体" w:eastAsia="宋体" w:hAnsi="宋体" w:cs="宋体"/>
          <w:b/>
          <w:bCs/>
          <w:szCs w:val="21"/>
        </w:rPr>
      </w:pPr>
      <w:bookmarkStart w:id="464" w:name="_Toc989411"/>
      <w:r>
        <w:rPr>
          <w:rFonts w:ascii="宋体" w:eastAsia="宋体" w:hAnsi="宋体" w:cs="宋体"/>
          <w:b/>
          <w:bCs/>
          <w:szCs w:val="21"/>
        </w:rPr>
        <w:t>（3） 公司</w:t>
      </w:r>
      <w:proofErr w:type="gramStart"/>
      <w:r>
        <w:rPr>
          <w:rFonts w:ascii="宋体" w:eastAsia="宋体" w:hAnsi="宋体" w:cs="宋体"/>
          <w:b/>
          <w:bCs/>
          <w:szCs w:val="21"/>
        </w:rPr>
        <w:t>无报告</w:t>
      </w:r>
      <w:proofErr w:type="gramEnd"/>
      <w:r>
        <w:rPr>
          <w:rFonts w:ascii="宋体" w:eastAsia="宋体" w:hAnsi="宋体" w:cs="宋体"/>
          <w:b/>
          <w:bCs/>
          <w:szCs w:val="21"/>
        </w:rPr>
        <w:t>分部的，或者不能披露各报告分部的资产总额和负债总额的，应说明原因</w:t>
      </w:r>
      <w:bookmarkEnd w:id="464"/>
    </w:p>
    <w:p w:rsidR="00BE788E" w:rsidRDefault="00BE788E">
      <w:pPr>
        <w:pStyle w:val="a3"/>
        <w:divId w:val="1894388933"/>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65" w:name="_Toc989412"/>
      <w:r>
        <w:rPr>
          <w:rFonts w:ascii="宋体" w:eastAsia="宋体" w:hAnsi="宋体" w:cs="宋体"/>
          <w:b/>
          <w:bCs/>
          <w:szCs w:val="21"/>
        </w:rPr>
        <w:t>（4） 其他说明</w:t>
      </w:r>
      <w:bookmarkEnd w:id="465"/>
    </w:p>
    <w:p w:rsidR="00BE788E" w:rsidRDefault="00BE788E">
      <w:pPr>
        <w:pStyle w:val="a3"/>
        <w:divId w:val="1581716910"/>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66" w:name="_Toc989413"/>
      <w:r>
        <w:rPr>
          <w:rFonts w:ascii="宋体" w:hAnsi="宋体" w:cs="宋体"/>
          <w:b/>
          <w:bCs/>
        </w:rPr>
        <w:lastRenderedPageBreak/>
        <w:t>7、其他对投资者决策有影响的重要交易和事项</w:t>
      </w:r>
      <w:bookmarkEnd w:id="466"/>
    </w:p>
    <w:p w:rsidR="00BE788E" w:rsidRDefault="00BE788E">
      <w:pPr>
        <w:pStyle w:val="a3"/>
        <w:divId w:val="818883497"/>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467" w:name="_Toc989414"/>
      <w:r>
        <w:rPr>
          <w:rFonts w:ascii="宋体" w:hAnsi="宋体" w:cs="宋体"/>
          <w:b/>
          <w:bCs/>
        </w:rPr>
        <w:t>8、其他</w:t>
      </w:r>
      <w:bookmarkEnd w:id="467"/>
    </w:p>
    <w:p w:rsidR="00BE788E" w:rsidRDefault="00BE788E">
      <w:pPr>
        <w:pStyle w:val="a3"/>
        <w:divId w:val="2044280207"/>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468" w:name="_Toc989415"/>
      <w:r>
        <w:rPr>
          <w:rFonts w:ascii="宋体" w:eastAsia="宋体" w:hAnsi="宋体" w:cs="宋体"/>
          <w:b/>
          <w:bCs/>
          <w:sz w:val="24"/>
          <w:szCs w:val="24"/>
        </w:rPr>
        <w:t>十九、母公司财务报表主要项目注释</w:t>
      </w:r>
      <w:bookmarkEnd w:id="468"/>
    </w:p>
    <w:p w:rsidR="00037019" w:rsidRDefault="00BE788E">
      <w:pPr>
        <w:pStyle w:val="3"/>
        <w:spacing w:line="280" w:lineRule="exact"/>
        <w:jc w:val="left"/>
        <w:rPr>
          <w:rFonts w:ascii="宋体" w:hAnsi="宋体" w:cs="宋体"/>
          <w:b/>
          <w:bCs/>
        </w:rPr>
      </w:pPr>
      <w:bookmarkStart w:id="469" w:name="_Toc989416"/>
      <w:r>
        <w:rPr>
          <w:rFonts w:ascii="宋体" w:hAnsi="宋体" w:cs="宋体"/>
          <w:b/>
          <w:bCs/>
        </w:rPr>
        <w:t>1、应收账款</w:t>
      </w:r>
      <w:bookmarkEnd w:id="469"/>
    </w:p>
    <w:p w:rsidR="00037019" w:rsidRDefault="00BE788E">
      <w:pPr>
        <w:keepNext/>
        <w:keepLines/>
        <w:spacing w:before="300" w:after="300" w:line="280" w:lineRule="exact"/>
        <w:outlineLvl w:val="3"/>
        <w:rPr>
          <w:rFonts w:ascii="宋体" w:eastAsia="宋体" w:hAnsi="宋体" w:cs="宋体"/>
          <w:b/>
          <w:bCs/>
          <w:szCs w:val="21"/>
        </w:rPr>
      </w:pPr>
      <w:bookmarkStart w:id="470" w:name="_Toc989417"/>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470"/>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r>
    </w:tbl>
    <w:p w:rsidR="00037019" w:rsidRDefault="00BE788E">
      <w:pPr>
        <w:keepNext/>
        <w:keepLines/>
        <w:spacing w:before="300" w:after="300" w:line="280" w:lineRule="exact"/>
        <w:outlineLvl w:val="3"/>
        <w:rPr>
          <w:rFonts w:ascii="宋体" w:eastAsia="宋体" w:hAnsi="宋体" w:cs="宋体"/>
          <w:b/>
          <w:bCs/>
          <w:szCs w:val="21"/>
        </w:rPr>
      </w:pPr>
      <w:bookmarkStart w:id="471" w:name="_Toc989418"/>
      <w:r>
        <w:rPr>
          <w:rFonts w:ascii="宋体" w:eastAsia="宋体" w:hAnsi="宋体" w:cs="宋体"/>
          <w:b/>
          <w:bCs/>
          <w:szCs w:val="21"/>
        </w:rPr>
        <w:t>（2） 按坏账计提方法分类披露</w:t>
      </w:r>
      <w:bookmarkEnd w:id="47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4,265,303.71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11,756,379.44</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line="240" w:lineRule="exact"/>
              <w:ind w:firstLineChars="100" w:firstLine="180"/>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2,061,042.76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1,957,990.62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81.31%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9,465,397.64</w:t>
            </w:r>
          </w:p>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18.69%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2,290,981.80</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4,265,303.71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11,756,379.44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按组合计提坏账准备类别名称：预期信用风险组合</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2,061,042.76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2,061,042.76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确定该组合依据的说明：</w:t>
      </w:r>
      <w:r w:rsidR="0031624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按组合计提坏账准备类别名称：性质组合</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性质组合</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sidR="0031624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472" w:name="_Toc989419"/>
      <w:r>
        <w:rPr>
          <w:rFonts w:ascii="宋体" w:eastAsia="宋体" w:hAnsi="宋体" w:cs="宋体"/>
          <w:b/>
          <w:bCs/>
          <w:szCs w:val="21"/>
        </w:rPr>
        <w:t>（3） 本期计提、收回或转回的坏账准备情况</w:t>
      </w:r>
      <w:bookmarkEnd w:id="472"/>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31624D">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395,126.68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395,126.68</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BE788E" w:rsidRDefault="00BE788E">
      <w:pPr>
        <w:pStyle w:val="a3"/>
        <w:divId w:val="11694885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73" w:name="_Toc989420"/>
      <w:r>
        <w:rPr>
          <w:rFonts w:ascii="宋体" w:eastAsia="宋体" w:hAnsi="宋体" w:cs="宋体"/>
          <w:b/>
          <w:bCs/>
          <w:szCs w:val="21"/>
        </w:rPr>
        <w:t>（4） 本期实际核销的应收账款情况</w:t>
      </w:r>
      <w:bookmarkEnd w:id="473"/>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474" w:name="_Toc989421"/>
      <w:r>
        <w:rPr>
          <w:rFonts w:ascii="宋体" w:eastAsia="宋体" w:hAnsi="宋体" w:cs="宋体"/>
          <w:b/>
          <w:bCs/>
          <w:szCs w:val="21"/>
        </w:rPr>
        <w:t>（5） 按欠款方归集的期末余额前五名的应收账款和合同资产情况</w:t>
      </w:r>
      <w:bookmarkEnd w:id="47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2,307,313.09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52.82%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1,433,345.44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1,433,345.44</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32.81%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71,667.27</w:t>
            </w:r>
          </w:p>
        </w:tc>
      </w:tr>
      <w:tr w:rsidR="00037019" w:rsidTr="0031624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627,697.32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627,697.32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31,384.87</w:t>
            </w: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4,368,355.85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103,052.14</w:t>
            </w:r>
          </w:p>
        </w:tc>
      </w:tr>
    </w:tbl>
    <w:p w:rsidR="00037019" w:rsidRDefault="00BE788E">
      <w:pPr>
        <w:pStyle w:val="3"/>
        <w:spacing w:line="280" w:lineRule="exact"/>
        <w:jc w:val="left"/>
        <w:rPr>
          <w:rFonts w:ascii="宋体" w:hAnsi="宋体" w:cs="宋体"/>
          <w:b/>
          <w:bCs/>
        </w:rPr>
      </w:pPr>
      <w:bookmarkStart w:id="475" w:name="_Toc989422"/>
      <w:r>
        <w:rPr>
          <w:rFonts w:ascii="宋体" w:hAnsi="宋体" w:cs="宋体"/>
          <w:b/>
          <w:bCs/>
        </w:rPr>
        <w:t>2、其他应收款</w:t>
      </w:r>
      <w:bookmarkEnd w:id="475"/>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bl>
    <w:p w:rsidR="00037019" w:rsidRDefault="00BE788E">
      <w:pPr>
        <w:keepNext/>
        <w:keepLines/>
        <w:spacing w:before="300" w:after="300" w:line="280" w:lineRule="exact"/>
        <w:outlineLvl w:val="3"/>
        <w:rPr>
          <w:rFonts w:ascii="宋体" w:eastAsia="宋体" w:hAnsi="宋体" w:cs="宋体"/>
          <w:b/>
          <w:bCs/>
          <w:sz w:val="18"/>
          <w:szCs w:val="18"/>
        </w:rPr>
      </w:pPr>
      <w:bookmarkStart w:id="476" w:name="_Toc989423"/>
      <w:r>
        <w:rPr>
          <w:rFonts w:ascii="宋体" w:eastAsia="宋体" w:hAnsi="宋体" w:cs="宋体"/>
          <w:b/>
          <w:bCs/>
          <w:sz w:val="18"/>
          <w:szCs w:val="18"/>
        </w:rPr>
        <w:lastRenderedPageBreak/>
        <w:t>（1） 应收利息</w:t>
      </w:r>
      <w:bookmarkEnd w:id="476"/>
    </w:p>
    <w:p w:rsidR="00037019" w:rsidRDefault="00BE788E">
      <w:pPr>
        <w:keepNext/>
        <w:keepLines/>
        <w:spacing w:before="300" w:after="300" w:line="280" w:lineRule="exact"/>
        <w:outlineLvl w:val="4"/>
        <w:rPr>
          <w:rFonts w:ascii="宋体" w:eastAsia="宋体" w:hAnsi="宋体" w:cs="宋体"/>
          <w:b/>
          <w:bCs/>
          <w:sz w:val="18"/>
          <w:szCs w:val="18"/>
        </w:rPr>
      </w:pPr>
      <w:bookmarkStart w:id="477" w:name="_Toc989424"/>
      <w:r>
        <w:rPr>
          <w:rFonts w:ascii="宋体" w:eastAsia="宋体" w:hAnsi="宋体" w:cs="宋体"/>
          <w:b/>
          <w:bCs/>
          <w:sz w:val="18"/>
          <w:szCs w:val="18"/>
        </w:rPr>
        <w:t>1） 应收利息分类</w:t>
      </w:r>
      <w:bookmarkEnd w:id="477"/>
    </w:p>
    <w:p w:rsidR="00037019" w:rsidRDefault="00BE788E">
      <w:pPr>
        <w:keepNext/>
        <w:keepLines/>
        <w:spacing w:before="300" w:after="300" w:line="280" w:lineRule="exact"/>
        <w:outlineLvl w:val="4"/>
        <w:rPr>
          <w:rFonts w:ascii="宋体" w:eastAsia="宋体" w:hAnsi="宋体" w:cs="宋体"/>
          <w:b/>
          <w:bCs/>
          <w:sz w:val="18"/>
          <w:szCs w:val="18"/>
        </w:rPr>
      </w:pPr>
      <w:bookmarkStart w:id="478" w:name="_Toc989425"/>
      <w:r>
        <w:rPr>
          <w:rFonts w:ascii="宋体" w:eastAsia="宋体" w:hAnsi="宋体" w:cs="宋体"/>
          <w:b/>
          <w:bCs/>
          <w:sz w:val="18"/>
          <w:szCs w:val="18"/>
        </w:rPr>
        <w:t>2） 重要逾期利息</w:t>
      </w:r>
      <w:bookmarkEnd w:id="478"/>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479" w:name="_Toc989426"/>
      <w:r>
        <w:rPr>
          <w:rFonts w:ascii="宋体" w:eastAsia="宋体" w:hAnsi="宋体" w:cs="宋体"/>
          <w:b/>
          <w:bCs/>
          <w:sz w:val="18"/>
          <w:szCs w:val="18"/>
        </w:rPr>
        <w:t>3） 按坏账计提方法分类披露</w:t>
      </w:r>
      <w:bookmarkEnd w:id="479"/>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480" w:name="_Toc989427"/>
      <w:r>
        <w:rPr>
          <w:rFonts w:ascii="宋体" w:eastAsia="宋体" w:hAnsi="宋体" w:cs="宋体"/>
          <w:b/>
          <w:bCs/>
          <w:sz w:val="18"/>
          <w:szCs w:val="18"/>
        </w:rPr>
        <w:t>4） 本期计提、收回或转回的坏账准备的情况</w:t>
      </w:r>
      <w:bookmarkEnd w:id="480"/>
    </w:p>
    <w:p w:rsidR="00037019" w:rsidRDefault="0031624D">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w:t>
      </w:r>
      <w:r w:rsidR="00BE788E">
        <w:rPr>
          <w:rFonts w:ascii="宋体" w:eastAsia="宋体" w:hAnsi="宋体" w:cs="宋体"/>
          <w:sz w:val="18"/>
          <w:szCs w:val="18"/>
        </w:rPr>
        <w:t>或转回金额重要的：</w:t>
      </w:r>
      <w:r>
        <w:rPr>
          <w:rFonts w:ascii="宋体" w:eastAsia="宋体" w:hAnsi="宋体" w:cs="宋体"/>
          <w:sz w:val="18"/>
          <w:szCs w:val="18"/>
        </w:rPr>
        <w:t>无</w:t>
      </w:r>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481" w:name="_Toc989428"/>
      <w:r>
        <w:rPr>
          <w:rFonts w:ascii="宋体" w:eastAsia="宋体" w:hAnsi="宋体" w:cs="宋体"/>
          <w:b/>
          <w:bCs/>
          <w:sz w:val="18"/>
          <w:szCs w:val="18"/>
        </w:rPr>
        <w:t>5） 本期实际核销的应收利息情况</w:t>
      </w:r>
      <w:bookmarkEnd w:id="481"/>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482" w:name="_Toc989429"/>
      <w:r>
        <w:rPr>
          <w:rFonts w:ascii="宋体" w:eastAsia="宋体" w:hAnsi="宋体" w:cs="宋体"/>
          <w:b/>
          <w:bCs/>
          <w:sz w:val="18"/>
          <w:szCs w:val="18"/>
        </w:rPr>
        <w:t>（2） 应收股利</w:t>
      </w:r>
      <w:bookmarkEnd w:id="482"/>
    </w:p>
    <w:p w:rsidR="00037019" w:rsidRDefault="00BE788E">
      <w:pPr>
        <w:keepNext/>
        <w:keepLines/>
        <w:spacing w:before="300" w:after="300" w:line="280" w:lineRule="exact"/>
        <w:outlineLvl w:val="4"/>
        <w:rPr>
          <w:rFonts w:ascii="宋体" w:eastAsia="宋体" w:hAnsi="宋体" w:cs="宋体"/>
          <w:b/>
          <w:bCs/>
          <w:sz w:val="18"/>
          <w:szCs w:val="18"/>
        </w:rPr>
      </w:pPr>
      <w:bookmarkStart w:id="483" w:name="_Toc989430"/>
      <w:r>
        <w:rPr>
          <w:rFonts w:ascii="宋体" w:eastAsia="宋体" w:hAnsi="宋体" w:cs="宋体"/>
          <w:b/>
          <w:bCs/>
          <w:sz w:val="18"/>
          <w:szCs w:val="18"/>
        </w:rPr>
        <w:t>1） 应收股利分类</w:t>
      </w:r>
      <w:bookmarkEnd w:id="483"/>
    </w:p>
    <w:p w:rsidR="00037019" w:rsidRDefault="00BE788E">
      <w:pPr>
        <w:keepNext/>
        <w:keepLines/>
        <w:spacing w:before="300" w:after="300" w:line="280" w:lineRule="exact"/>
        <w:outlineLvl w:val="4"/>
        <w:rPr>
          <w:rFonts w:ascii="宋体" w:eastAsia="宋体" w:hAnsi="宋体" w:cs="宋体"/>
          <w:b/>
          <w:bCs/>
          <w:sz w:val="18"/>
          <w:szCs w:val="18"/>
        </w:rPr>
      </w:pPr>
      <w:bookmarkStart w:id="484" w:name="_Toc989431"/>
      <w:r>
        <w:rPr>
          <w:rFonts w:ascii="宋体" w:eastAsia="宋体" w:hAnsi="宋体" w:cs="宋体"/>
          <w:b/>
          <w:bCs/>
          <w:sz w:val="18"/>
          <w:szCs w:val="18"/>
        </w:rPr>
        <w:t>2） 重要的账龄超过1年的应收股利</w:t>
      </w:r>
      <w:bookmarkEnd w:id="484"/>
    </w:p>
    <w:p w:rsidR="00037019" w:rsidRDefault="00BE788E">
      <w:pPr>
        <w:keepNext/>
        <w:keepLines/>
        <w:spacing w:before="300" w:after="300" w:line="280" w:lineRule="exact"/>
        <w:outlineLvl w:val="4"/>
        <w:rPr>
          <w:rFonts w:ascii="宋体" w:eastAsia="宋体" w:hAnsi="宋体" w:cs="宋体"/>
          <w:b/>
          <w:bCs/>
          <w:sz w:val="18"/>
          <w:szCs w:val="18"/>
        </w:rPr>
      </w:pPr>
      <w:bookmarkStart w:id="485" w:name="_Toc989432"/>
      <w:r>
        <w:rPr>
          <w:rFonts w:ascii="宋体" w:eastAsia="宋体" w:hAnsi="宋体" w:cs="宋体"/>
          <w:b/>
          <w:bCs/>
          <w:sz w:val="18"/>
          <w:szCs w:val="18"/>
        </w:rPr>
        <w:t>3） 按坏账计提方法分类披露</w:t>
      </w:r>
      <w:bookmarkEnd w:id="485"/>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486" w:name="_Toc989433"/>
      <w:r>
        <w:rPr>
          <w:rFonts w:ascii="宋体" w:eastAsia="宋体" w:hAnsi="宋体" w:cs="宋体"/>
          <w:b/>
          <w:bCs/>
          <w:sz w:val="18"/>
          <w:szCs w:val="18"/>
        </w:rPr>
        <w:t>4） 本期计提、收回或转回的坏账准备的情况</w:t>
      </w:r>
      <w:bookmarkEnd w:id="486"/>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31624D">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487" w:name="_Toc989434"/>
      <w:r>
        <w:rPr>
          <w:rFonts w:ascii="宋体" w:eastAsia="宋体" w:hAnsi="宋体" w:cs="宋体"/>
          <w:b/>
          <w:bCs/>
          <w:sz w:val="18"/>
          <w:szCs w:val="18"/>
        </w:rPr>
        <w:t>5） 本期实际核销的应收股利情况</w:t>
      </w:r>
      <w:bookmarkEnd w:id="487"/>
    </w:p>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 w:val="18"/>
          <w:szCs w:val="18"/>
        </w:rPr>
      </w:pPr>
      <w:bookmarkStart w:id="488" w:name="_Toc989435"/>
      <w:r>
        <w:rPr>
          <w:rFonts w:ascii="宋体" w:eastAsia="宋体" w:hAnsi="宋体" w:cs="宋体"/>
          <w:b/>
          <w:bCs/>
          <w:sz w:val="18"/>
          <w:szCs w:val="18"/>
        </w:rPr>
        <w:t>（3） 其他应收款</w:t>
      </w:r>
      <w:bookmarkEnd w:id="488"/>
    </w:p>
    <w:p w:rsidR="00037019" w:rsidRDefault="00BE788E">
      <w:pPr>
        <w:keepNext/>
        <w:keepLines/>
        <w:spacing w:before="300" w:after="300" w:line="280" w:lineRule="exact"/>
        <w:outlineLvl w:val="4"/>
        <w:rPr>
          <w:rFonts w:ascii="宋体" w:eastAsia="宋体" w:hAnsi="宋体" w:cs="宋体"/>
          <w:b/>
          <w:bCs/>
          <w:sz w:val="18"/>
          <w:szCs w:val="18"/>
        </w:rPr>
      </w:pPr>
      <w:bookmarkStart w:id="489" w:name="_Toc989436"/>
      <w:r>
        <w:rPr>
          <w:rFonts w:ascii="宋体" w:eastAsia="宋体" w:hAnsi="宋体" w:cs="宋体"/>
          <w:b/>
          <w:bCs/>
          <w:sz w:val="18"/>
          <w:szCs w:val="18"/>
        </w:rPr>
        <w:t>1） 其他应收款按款项性质分类情况</w:t>
      </w:r>
      <w:bookmarkEnd w:id="489"/>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暂借款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152,313.03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143,285.23</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19,115,777.77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19,115,777.77</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应收股权转让款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103,985,990.09</w:t>
            </w:r>
          </w:p>
        </w:tc>
      </w:tr>
      <w:tr w:rsidR="00037019" w:rsidTr="0031624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减：坏账准备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490" w:name="_Toc989437"/>
      <w:r>
        <w:rPr>
          <w:rFonts w:ascii="宋体" w:eastAsia="宋体" w:hAnsi="宋体" w:cs="宋体"/>
          <w:b/>
          <w:bCs/>
          <w:sz w:val="18"/>
          <w:szCs w:val="18"/>
        </w:rPr>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490"/>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106,999,349.99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104,124,275.32</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2,084,444.45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2,084,444.44</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7,331,333.33</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7,331,333.33</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9,705,000.00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9,700,000.00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126,120,127.77</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123,245,053.09</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491" w:name="_Toc989438"/>
      <w:r>
        <w:rPr>
          <w:rFonts w:ascii="宋体" w:eastAsia="宋体" w:hAnsi="宋体" w:cs="宋体"/>
          <w:b/>
          <w:bCs/>
          <w:sz w:val="18"/>
          <w:szCs w:val="18"/>
        </w:rPr>
        <w:t>3） 按坏账计提方法分类披露</w:t>
      </w:r>
      <w:bookmarkEnd w:id="49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37019">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126,120,127.77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rsidP="0031624D">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19,268,090.80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15.28%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12,732,014.04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19,259,063.00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15.63%</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12,723,437.63</w:t>
            </w:r>
          </w:p>
        </w:tc>
      </w:tr>
      <w:tr w:rsidR="00037019" w:rsidTr="0031624D">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合并范围内关联方组合</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84.72%</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103,985,990.09</w:t>
            </w:r>
          </w:p>
        </w:tc>
      </w:tr>
      <w:tr w:rsidR="00037019">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126,120,127.77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5.18%</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119,584,051.01</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39.24%</w:t>
            </w:r>
          </w:p>
        </w:tc>
        <w:tc>
          <w:tcPr>
            <w:tcW w:w="8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116,709,427.72</w:t>
            </w:r>
          </w:p>
        </w:tc>
      </w:tr>
    </w:tbl>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 预期信用风险组合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预期信用风险组合</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19,268,090.80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33.92%</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19,268,090.80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31624D" w:rsidRDefault="00BE788E" w:rsidP="0031624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按组合计提坏账准备类别名称： 合并范围内关联方组合 </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合并范围内关联方组合</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rsidTr="0031624D">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106,852,036.97</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037019"/>
        </w:tc>
      </w:tr>
    </w:tbl>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sidR="006E5D7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2024年6月30日余额</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r>
    </w:tbl>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r w:rsidR="006E5D7D">
        <w:rPr>
          <w:rFonts w:ascii="宋体" w:eastAsia="宋体" w:hAnsi="宋体" w:cs="宋体"/>
          <w:sz w:val="18"/>
          <w:szCs w:val="18"/>
        </w:rPr>
        <w:t>：</w:t>
      </w:r>
      <w:r w:rsidR="006E5D7D">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4"/>
        <w:rPr>
          <w:rFonts w:ascii="宋体" w:eastAsia="宋体" w:hAnsi="宋体" w:cs="宋体"/>
          <w:b/>
          <w:bCs/>
          <w:sz w:val="18"/>
          <w:szCs w:val="18"/>
        </w:rPr>
      </w:pPr>
      <w:bookmarkStart w:id="492" w:name="_Toc989439"/>
      <w:r>
        <w:rPr>
          <w:rFonts w:ascii="宋体" w:eastAsia="宋体" w:hAnsi="宋体" w:cs="宋体"/>
          <w:b/>
          <w:bCs/>
          <w:sz w:val="18"/>
          <w:szCs w:val="18"/>
        </w:rPr>
        <w:t>4） 本期计提、收回或转回的坏账准备情况</w:t>
      </w:r>
      <w:bookmarkEnd w:id="492"/>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本期计提坏账准备情况：</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451.39</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6,536,076.76</w:t>
            </w:r>
          </w:p>
        </w:tc>
      </w:tr>
    </w:tbl>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其中本期坏账准备转回或收回金额重要的：</w:t>
      </w:r>
    </w:p>
    <w:p w:rsidR="00BE788E" w:rsidRDefault="00BE788E">
      <w:pPr>
        <w:pStyle w:val="a3"/>
        <w:divId w:val="2073888203"/>
        <w:rPr>
          <w:sz w:val="18"/>
          <w:szCs w:val="18"/>
        </w:rPr>
      </w:pPr>
      <w:r>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493" w:name="_Toc989440"/>
      <w:r>
        <w:rPr>
          <w:rFonts w:ascii="宋体" w:eastAsia="宋体" w:hAnsi="宋体" w:cs="宋体"/>
          <w:b/>
          <w:bCs/>
          <w:sz w:val="18"/>
          <w:szCs w:val="18"/>
        </w:rPr>
        <w:t>5） 本期实际核销的其他应收款情况</w:t>
      </w:r>
      <w:bookmarkEnd w:id="493"/>
    </w:p>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sidR="006E5D7D">
        <w:rPr>
          <w:rFonts w:hint="eastAsia"/>
          <w:sz w:val="18"/>
          <w:szCs w:val="18"/>
        </w:rPr>
        <w:t>无</w:t>
      </w:r>
    </w:p>
    <w:p w:rsidR="00037019" w:rsidRDefault="00BE788E">
      <w:pPr>
        <w:keepNext/>
        <w:keepLines/>
        <w:spacing w:before="300" w:after="300" w:line="280" w:lineRule="exact"/>
        <w:outlineLvl w:val="4"/>
        <w:rPr>
          <w:rFonts w:ascii="宋体" w:eastAsia="宋体" w:hAnsi="宋体" w:cs="宋体"/>
          <w:b/>
          <w:bCs/>
          <w:sz w:val="18"/>
          <w:szCs w:val="18"/>
        </w:rPr>
      </w:pPr>
      <w:bookmarkStart w:id="494" w:name="_Toc989441"/>
      <w:r>
        <w:rPr>
          <w:rFonts w:ascii="宋体" w:eastAsia="宋体" w:hAnsi="宋体" w:cs="宋体"/>
          <w:b/>
          <w:bCs/>
          <w:sz w:val="18"/>
          <w:szCs w:val="18"/>
        </w:rPr>
        <w:t>6） 按欠款方归集的期末余额前五名的其他应收款情况</w:t>
      </w:r>
      <w:bookmarkEnd w:id="494"/>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6E5D7D">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81,723,246.56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64.80%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6E5D7D">
            <w:pPr>
              <w:spacing w:line="240" w:lineRule="exact"/>
              <w:rPr>
                <w:rFonts w:ascii="宋体" w:eastAsia="宋体" w:hAnsi="宋体" w:cs="宋体"/>
                <w:sz w:val="18"/>
                <w:szCs w:val="18"/>
              </w:rPr>
            </w:pPr>
            <w:r>
              <w:rPr>
                <w:rFonts w:ascii="宋体" w:eastAsia="宋体" w:hAnsi="宋体" w:cs="宋体"/>
                <w:sz w:val="18"/>
                <w:szCs w:val="18"/>
              </w:rPr>
              <w:t> </w:t>
            </w:r>
            <w:r w:rsidR="00BE788E">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1,129,444.45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0.90%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56,472.22</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1,016,666.66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0.81%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50,833.33</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3-4年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7.69%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485,000.00</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第三名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11,225,229.39</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8.90%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第四名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955,000.00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1-2年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0.76%</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95,500.00</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6,314,666.67</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2-3年</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5.01%</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1,262,933.33</w:t>
            </w:r>
          </w:p>
        </w:tc>
      </w:tr>
      <w:tr w:rsidR="00037019" w:rsidTr="006E5D7D">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第五名</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7,000,000.00</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  1年以内</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5.55%</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119,064,253.73</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94.42%</w:t>
            </w:r>
          </w:p>
        </w:tc>
        <w:tc>
          <w:tcPr>
            <w:tcW w:w="160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1,950,738.88</w:t>
            </w:r>
          </w:p>
        </w:tc>
      </w:tr>
    </w:tbl>
    <w:p w:rsidR="00037019" w:rsidRDefault="00BE788E">
      <w:pPr>
        <w:keepNext/>
        <w:keepLines/>
        <w:spacing w:before="300" w:after="300" w:line="280" w:lineRule="exact"/>
        <w:outlineLvl w:val="4"/>
        <w:rPr>
          <w:rFonts w:ascii="宋体" w:eastAsia="宋体" w:hAnsi="宋体" w:cs="宋体"/>
          <w:b/>
          <w:bCs/>
          <w:sz w:val="18"/>
          <w:szCs w:val="18"/>
        </w:rPr>
      </w:pPr>
      <w:bookmarkStart w:id="495" w:name="_Toc989442"/>
      <w:r>
        <w:rPr>
          <w:rFonts w:ascii="宋体" w:eastAsia="宋体" w:hAnsi="宋体" w:cs="宋体"/>
          <w:b/>
          <w:bCs/>
          <w:sz w:val="18"/>
          <w:szCs w:val="18"/>
        </w:rPr>
        <w:t>7） 因资金集中管理而列报于其他应收款</w:t>
      </w:r>
      <w:bookmarkEnd w:id="495"/>
    </w:p>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E5D7D">
        <w:rPr>
          <w:rFonts w:hint="eastAsia"/>
          <w:sz w:val="18"/>
          <w:szCs w:val="18"/>
        </w:rPr>
        <w:t>无</w:t>
      </w:r>
    </w:p>
    <w:p w:rsidR="00037019" w:rsidRDefault="00BE788E">
      <w:pPr>
        <w:pStyle w:val="3"/>
        <w:spacing w:line="280" w:lineRule="exact"/>
        <w:jc w:val="left"/>
        <w:rPr>
          <w:rFonts w:ascii="宋体" w:hAnsi="宋体" w:cs="宋体"/>
          <w:b/>
          <w:bCs/>
        </w:rPr>
      </w:pPr>
      <w:bookmarkStart w:id="496" w:name="_Toc989443"/>
      <w:r>
        <w:rPr>
          <w:rFonts w:ascii="宋体" w:hAnsi="宋体" w:cs="宋体"/>
          <w:b/>
          <w:bCs/>
        </w:rPr>
        <w:t>3、长期股权投资</w:t>
      </w:r>
      <w:bookmarkEnd w:id="496"/>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37019">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37019">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r>
      <w:tr w:rsidR="00037019">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r>
    </w:tbl>
    <w:p w:rsidR="00037019" w:rsidRDefault="00BE788E">
      <w:pPr>
        <w:keepNext/>
        <w:keepLines/>
        <w:spacing w:before="300" w:after="300" w:line="280" w:lineRule="exact"/>
        <w:outlineLvl w:val="3"/>
        <w:rPr>
          <w:rFonts w:ascii="宋体" w:eastAsia="宋体" w:hAnsi="宋体" w:cs="宋体"/>
          <w:b/>
          <w:bCs/>
          <w:szCs w:val="21"/>
        </w:rPr>
      </w:pPr>
      <w:bookmarkStart w:id="497" w:name="_Toc989444"/>
      <w:r>
        <w:rPr>
          <w:rFonts w:ascii="宋体" w:eastAsia="宋体" w:hAnsi="宋体" w:cs="宋体"/>
          <w:b/>
          <w:bCs/>
          <w:szCs w:val="21"/>
        </w:rPr>
        <w:t>（1） 对子公司投资</w:t>
      </w:r>
      <w:bookmarkEnd w:id="497"/>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rsidTr="006E5D7D">
        <w:trPr>
          <w:cantSplit/>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37019" w:rsidTr="006E5D7D">
        <w:trPr>
          <w:cantSplit/>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12,832,704.89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12,832,704.89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127,264,373.11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127,264,373.11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淮北市华孚纺织有限公司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205,306,183.89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205,306,183.89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proofErr w:type="gramStart"/>
            <w:r>
              <w:rPr>
                <w:rFonts w:ascii="宋体" w:eastAsia="宋体" w:hAnsi="宋体" w:cs="宋体"/>
                <w:sz w:val="18"/>
                <w:szCs w:val="18"/>
              </w:rPr>
              <w:t>奎屯锦孚纺织</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bookmarkStart w:id="498" w:name="_GoBack"/>
            <w:bookmarkEnd w:id="498"/>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rsidTr="006E5D7D">
        <w:trPr>
          <w:cantSplit/>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bl>
    <w:p w:rsidR="00037019" w:rsidRDefault="00BE788E">
      <w:pPr>
        <w:keepNext/>
        <w:keepLines/>
        <w:spacing w:before="300" w:after="300" w:line="280" w:lineRule="exact"/>
        <w:outlineLvl w:val="3"/>
        <w:rPr>
          <w:rFonts w:ascii="宋体" w:eastAsia="宋体" w:hAnsi="宋体" w:cs="宋体"/>
          <w:b/>
          <w:bCs/>
          <w:szCs w:val="21"/>
        </w:rPr>
      </w:pPr>
      <w:bookmarkStart w:id="499" w:name="_Toc989445"/>
      <w:r>
        <w:rPr>
          <w:rFonts w:ascii="宋体" w:eastAsia="宋体" w:hAnsi="宋体" w:cs="宋体"/>
          <w:b/>
          <w:bCs/>
          <w:szCs w:val="21"/>
        </w:rPr>
        <w:lastRenderedPageBreak/>
        <w:t>（2） 对联营、合营企业投资</w:t>
      </w:r>
      <w:bookmarkEnd w:id="499"/>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BE788E" w:rsidRDefault="006E5D7D">
      <w:pPr>
        <w:pStyle w:val="a3"/>
        <w:divId w:val="163932885"/>
        <w:rPr>
          <w:sz w:val="18"/>
          <w:szCs w:val="18"/>
        </w:rPr>
      </w:pPr>
      <w:r>
        <w:rPr>
          <w:rFonts w:hint="eastAsia"/>
          <w:sz w:val="18"/>
          <w:szCs w:val="18"/>
        </w:rPr>
        <w:t>无</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BE788E" w:rsidRDefault="006E5D7D">
      <w:pPr>
        <w:pStyle w:val="a3"/>
        <w:divId w:val="221137369"/>
        <w:rPr>
          <w:sz w:val="18"/>
          <w:szCs w:val="18"/>
        </w:rPr>
      </w:pPr>
      <w:r>
        <w:rPr>
          <w:rFonts w:hint="eastAsia"/>
          <w:sz w:val="18"/>
          <w:szCs w:val="18"/>
        </w:rPr>
        <w:t>无</w:t>
      </w:r>
    </w:p>
    <w:p w:rsidR="00037019" w:rsidRDefault="00BE788E">
      <w:pPr>
        <w:keepNext/>
        <w:keepLines/>
        <w:spacing w:before="300" w:after="300" w:line="280" w:lineRule="exact"/>
        <w:outlineLvl w:val="3"/>
        <w:rPr>
          <w:rFonts w:ascii="宋体" w:eastAsia="宋体" w:hAnsi="宋体" w:cs="宋体"/>
          <w:b/>
          <w:bCs/>
          <w:szCs w:val="21"/>
        </w:rPr>
      </w:pPr>
      <w:bookmarkStart w:id="500" w:name="_Toc989446"/>
      <w:r>
        <w:rPr>
          <w:rFonts w:ascii="宋体" w:eastAsia="宋体" w:hAnsi="宋体" w:cs="宋体"/>
          <w:b/>
          <w:bCs/>
          <w:szCs w:val="21"/>
        </w:rPr>
        <w:t>（3） 其他说明</w:t>
      </w:r>
      <w:bookmarkEnd w:id="500"/>
    </w:p>
    <w:p w:rsidR="00BE788E" w:rsidRDefault="006E5D7D">
      <w:pPr>
        <w:pStyle w:val="a3"/>
        <w:divId w:val="560166974"/>
        <w:rPr>
          <w:sz w:val="18"/>
          <w:szCs w:val="18"/>
        </w:rPr>
      </w:pPr>
      <w:r>
        <w:rPr>
          <w:rFonts w:hint="eastAsia"/>
          <w:sz w:val="18"/>
          <w:szCs w:val="18"/>
        </w:rPr>
        <w:t>无</w:t>
      </w:r>
    </w:p>
    <w:p w:rsidR="00037019" w:rsidRDefault="00BE788E">
      <w:pPr>
        <w:pStyle w:val="3"/>
        <w:spacing w:line="280" w:lineRule="exact"/>
        <w:jc w:val="left"/>
        <w:rPr>
          <w:rFonts w:ascii="宋体" w:hAnsi="宋体" w:cs="宋体"/>
          <w:b/>
          <w:bCs/>
        </w:rPr>
      </w:pPr>
      <w:bookmarkStart w:id="501" w:name="_Toc989447"/>
      <w:r>
        <w:rPr>
          <w:rFonts w:ascii="宋体" w:hAnsi="宋体" w:cs="宋体"/>
          <w:b/>
          <w:bCs/>
        </w:rPr>
        <w:t>4、营业收入和营业成本</w:t>
      </w:r>
      <w:bookmarkEnd w:id="501"/>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37019">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522,522,825.45</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424,878,105.21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594,814,765.58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472,328,498.50</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185,084.26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21,401.87</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16,138,216.96</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8,094,240.45</w:t>
            </w:r>
          </w:p>
        </w:tc>
      </w:tr>
      <w:tr w:rsidR="00037019">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610,952,982.54</w:t>
            </w:r>
          </w:p>
        </w:tc>
        <w:tc>
          <w:tcPr>
            <w:tcW w:w="1928"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480,422,738.95</w:t>
            </w:r>
          </w:p>
        </w:tc>
      </w:tr>
    </w:tbl>
    <w:p w:rsidR="00037019" w:rsidRDefault="00BE788E">
      <w:pPr>
        <w:spacing w:before="100" w:after="40"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37019" w:rsidTr="006E5D7D">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jc w:val="center"/>
              <w:rPr>
                <w:rFonts w:ascii="宋体" w:eastAsia="宋体" w:hAnsi="宋体" w:cs="宋体"/>
                <w:sz w:val="18"/>
                <w:szCs w:val="18"/>
              </w:rPr>
            </w:pPr>
            <w:r>
              <w:rPr>
                <w:rFonts w:ascii="宋体" w:eastAsia="宋体" w:hAnsi="宋体" w:cs="宋体"/>
                <w:sz w:val="18"/>
                <w:szCs w:val="18"/>
              </w:rPr>
              <w:t xml:space="preserve"> 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37019">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437,241,517.20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343,478,297.39</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437,241,517.20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343,478,297.39</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原、色棉纤</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85,281,308.25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81,399,807.82</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85,281,308.25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81,399,807.82</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185,084.26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21,401.87</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185,084.26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21,401.87</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522,692,386.76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522,692,386.76</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485,616,583.21</w:t>
            </w:r>
          </w:p>
        </w:tc>
      </w:tr>
      <w:tr w:rsidR="00037019" w:rsidTr="006E5D7D">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15,522.95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15,522.95</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r>
      <w:tr w:rsidR="00037019">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522,707,909.71</w:t>
            </w:r>
          </w:p>
        </w:tc>
        <w:tc>
          <w:tcPr>
            <w:tcW w:w="1071"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424,899,507.08</w:t>
            </w:r>
          </w:p>
        </w:tc>
      </w:tr>
    </w:tbl>
    <w:p w:rsidR="00037019" w:rsidRDefault="00BE788E" w:rsidP="006E5D7D">
      <w:pPr>
        <w:rPr>
          <w:rFonts w:ascii="宋体" w:eastAsia="宋体" w:hAnsi="宋体" w:cs="宋体"/>
          <w:sz w:val="18"/>
          <w:szCs w:val="18"/>
        </w:rPr>
      </w:pPr>
      <w:r>
        <w:rPr>
          <w:rFonts w:ascii="宋体" w:eastAsia="宋体" w:hAnsi="宋体" w:cs="宋体"/>
          <w:sz w:val="18"/>
          <w:szCs w:val="18"/>
        </w:rPr>
        <w:t>其他说明</w:t>
      </w:r>
      <w:r w:rsidR="006E5D7D">
        <w:rPr>
          <w:rFonts w:ascii="宋体" w:eastAsia="宋体" w:hAnsi="宋体" w:cs="宋体"/>
          <w:sz w:val="18"/>
          <w:szCs w:val="18"/>
        </w:rPr>
        <w:t>：无</w:t>
      </w:r>
    </w:p>
    <w:p w:rsidR="00037019" w:rsidRDefault="00BE788E" w:rsidP="006E5D7D">
      <w:pPr>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37019" w:rsidRDefault="00BE788E" w:rsidP="006E5D7D">
      <w:pP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BE788E" w:rsidRPr="006E5D7D" w:rsidRDefault="00BE788E" w:rsidP="006E5D7D">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E5D7D">
        <w:rPr>
          <w:rFonts w:hint="eastAsia"/>
          <w:sz w:val="18"/>
          <w:szCs w:val="18"/>
        </w:rPr>
        <w:t>无</w:t>
      </w:r>
    </w:p>
    <w:p w:rsidR="00037019" w:rsidRDefault="00BE788E">
      <w:pPr>
        <w:pStyle w:val="3"/>
        <w:spacing w:line="280" w:lineRule="exact"/>
        <w:jc w:val="left"/>
        <w:rPr>
          <w:rFonts w:ascii="宋体" w:hAnsi="宋体" w:cs="宋体"/>
          <w:b/>
          <w:bCs/>
        </w:rPr>
      </w:pPr>
      <w:bookmarkStart w:id="502" w:name="_Toc989448"/>
      <w:r>
        <w:rPr>
          <w:rFonts w:ascii="宋体" w:hAnsi="宋体" w:cs="宋体"/>
          <w:b/>
          <w:bCs/>
        </w:rPr>
        <w:t>5、投资收益</w:t>
      </w:r>
      <w:bookmarkEnd w:id="502"/>
    </w:p>
    <w:p w:rsidR="00037019" w:rsidRDefault="00BE788E">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交易性金融资产在持有期间的投资收益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-3,787,930.42</w:t>
            </w:r>
          </w:p>
        </w:tc>
      </w:tr>
      <w:tr w:rsidR="00037019" w:rsidTr="006E5D7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子公司分红取得的投资收益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4,868.14</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138,581,720.51</w:t>
            </w:r>
          </w:p>
        </w:tc>
      </w:tr>
      <w:tr w:rsidR="00037019" w:rsidTr="006E5D7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line="240" w:lineRule="exact"/>
              <w:rPr>
                <w:rFonts w:ascii="宋体" w:eastAsia="宋体" w:hAnsi="宋体" w:cs="宋体"/>
                <w:sz w:val="18"/>
                <w:szCs w:val="18"/>
              </w:rPr>
            </w:pPr>
            <w:r>
              <w:rPr>
                <w:rFonts w:ascii="宋体" w:eastAsia="宋体" w:hAnsi="宋体" w:cs="宋体"/>
                <w:sz w:val="18"/>
                <w:szCs w:val="18"/>
              </w:rPr>
              <w:t>理财产品收益</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835,995.55</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jc w:val="right"/>
              <w:rPr>
                <w:rFonts w:ascii="宋体" w:eastAsia="宋体" w:hAnsi="宋体" w:cs="宋体"/>
                <w:sz w:val="18"/>
                <w:szCs w:val="18"/>
              </w:rPr>
            </w:pPr>
          </w:p>
        </w:tc>
      </w:tr>
      <w:tr w:rsidR="0003701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840,863.69</w:t>
            </w:r>
          </w:p>
        </w:tc>
        <w:tc>
          <w:tcPr>
            <w:tcW w:w="3213"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134,793,790.09</w:t>
            </w:r>
          </w:p>
        </w:tc>
      </w:tr>
    </w:tbl>
    <w:p w:rsidR="00037019" w:rsidRDefault="00BE788E">
      <w:pPr>
        <w:pStyle w:val="3"/>
        <w:spacing w:line="280" w:lineRule="exact"/>
        <w:jc w:val="left"/>
        <w:rPr>
          <w:rFonts w:ascii="宋体" w:hAnsi="宋体" w:cs="宋体"/>
          <w:b/>
          <w:bCs/>
        </w:rPr>
      </w:pPr>
      <w:bookmarkStart w:id="503" w:name="_Toc989449"/>
      <w:r>
        <w:rPr>
          <w:rFonts w:ascii="宋体" w:hAnsi="宋体" w:cs="宋体"/>
          <w:b/>
          <w:bCs/>
        </w:rPr>
        <w:t>6、其他</w:t>
      </w:r>
      <w:bookmarkEnd w:id="503"/>
    </w:p>
    <w:p w:rsidR="00BE788E" w:rsidRDefault="00BE788E">
      <w:pPr>
        <w:pStyle w:val="a3"/>
        <w:divId w:val="248730979"/>
        <w:rPr>
          <w:sz w:val="18"/>
          <w:szCs w:val="18"/>
        </w:rPr>
      </w:pPr>
      <w:r>
        <w:rPr>
          <w:rFonts w:hint="eastAsia"/>
          <w:sz w:val="18"/>
          <w:szCs w:val="18"/>
        </w:rPr>
        <w:t>无。</w:t>
      </w:r>
    </w:p>
    <w:p w:rsidR="00037019" w:rsidRDefault="00BE788E">
      <w:pPr>
        <w:pStyle w:val="2"/>
        <w:spacing w:before="300" w:after="300" w:line="320" w:lineRule="exact"/>
        <w:rPr>
          <w:rFonts w:ascii="宋体" w:eastAsia="宋体" w:hAnsi="宋体" w:cs="宋体"/>
          <w:b/>
          <w:bCs/>
          <w:sz w:val="24"/>
          <w:szCs w:val="24"/>
        </w:rPr>
      </w:pPr>
      <w:bookmarkStart w:id="504" w:name="_Toc989450"/>
      <w:r>
        <w:rPr>
          <w:rFonts w:ascii="宋体" w:eastAsia="宋体" w:hAnsi="宋体" w:cs="宋体"/>
          <w:b/>
          <w:bCs/>
          <w:sz w:val="24"/>
          <w:szCs w:val="24"/>
        </w:rPr>
        <w:t>二十、补充资料</w:t>
      </w:r>
      <w:bookmarkEnd w:id="504"/>
    </w:p>
    <w:p w:rsidR="00037019" w:rsidRDefault="00BE788E">
      <w:pPr>
        <w:pStyle w:val="3"/>
        <w:spacing w:line="280" w:lineRule="exact"/>
        <w:jc w:val="left"/>
        <w:rPr>
          <w:rFonts w:ascii="宋体" w:hAnsi="宋体" w:cs="宋体"/>
          <w:b/>
          <w:bCs/>
        </w:rPr>
      </w:pPr>
      <w:bookmarkStart w:id="505" w:name="_Toc989451"/>
      <w:r>
        <w:rPr>
          <w:rFonts w:ascii="宋体" w:hAnsi="宋体" w:cs="宋体"/>
          <w:b/>
          <w:bCs/>
        </w:rPr>
        <w:t>1、当期非经常性损益明细表</w:t>
      </w:r>
      <w:bookmarkEnd w:id="505"/>
    </w:p>
    <w:p w:rsidR="00037019" w:rsidRDefault="00BE788E">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37019" w:rsidRDefault="00BE788E">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87"/>
        <w:gridCol w:w="1576"/>
        <w:gridCol w:w="1576"/>
      </w:tblGrid>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76"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2,283,404.49</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w:t>
            </w:r>
            <w:r>
              <w:rPr>
                <w:rFonts w:ascii="宋体" w:eastAsia="宋体" w:hAnsi="宋体" w:cs="宋体"/>
                <w:sz w:val="18"/>
                <w:szCs w:val="18"/>
              </w:rPr>
              <w:lastRenderedPageBreak/>
              <w:t>定、按照确定的标准享有、对公司损益产生持续影响的政府补助除外）</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lastRenderedPageBreak/>
              <w:t>38,234,349.53</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除同公司正常经营业务相关的有效套期保值业务外，非金融企业持有金融资产和金融负债产生的公允价值变动损益以及处置金融资产和金融负债产生的损益</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26,220,063.42</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3,860,116.40</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-1,092,940.65</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13,960,571.09</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1,754,058.27</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037019">
            <w:pPr>
              <w:spacing w:line="240" w:lineRule="exact"/>
              <w:rPr>
                <w:rFonts w:ascii="宋体" w:eastAsia="宋体" w:hAnsi="宋体" w:cs="宋体"/>
                <w:sz w:val="18"/>
                <w:szCs w:val="18"/>
              </w:rPr>
            </w:pPr>
          </w:p>
        </w:tc>
      </w:tr>
      <w:tr w:rsidR="00037019" w:rsidTr="006E5D7D">
        <w:trPr>
          <w:trHeight w:val="240"/>
        </w:trPr>
        <w:tc>
          <w:tcPr>
            <w:tcW w:w="6487"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576"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53,790,363.83</w:t>
            </w:r>
          </w:p>
        </w:tc>
        <w:tc>
          <w:tcPr>
            <w:tcW w:w="1576" w:type="dxa"/>
            <w:tcBorders>
              <w:top w:val="single" w:sz="2" w:space="0" w:color="auto"/>
              <w:left w:val="single" w:sz="2" w:space="0" w:color="auto"/>
              <w:bottom w:val="single" w:sz="2" w:space="0" w:color="auto"/>
              <w:right w:val="single" w:sz="2" w:space="0" w:color="auto"/>
            </w:tcBorders>
            <w:shd w:val="clear" w:color="auto" w:fill="auto"/>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pStyle w:val="3"/>
        <w:spacing w:line="280" w:lineRule="exact"/>
        <w:jc w:val="left"/>
        <w:rPr>
          <w:rFonts w:ascii="宋体" w:hAnsi="宋体" w:cs="宋体"/>
          <w:b/>
          <w:bCs/>
        </w:rPr>
      </w:pPr>
      <w:bookmarkStart w:id="506" w:name="_Toc989452"/>
      <w:r>
        <w:rPr>
          <w:rFonts w:ascii="宋体" w:hAnsi="宋体" w:cs="宋体"/>
          <w:b/>
          <w:bCs/>
        </w:rPr>
        <w:t>2、净资产收益率及每股收益</w:t>
      </w:r>
      <w:bookmarkEnd w:id="50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37019">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每股收益</w:t>
            </w:r>
          </w:p>
        </w:tc>
      </w:tr>
      <w:tr w:rsidR="00037019">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037019"/>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jc w:val="center"/>
              <w:rPr>
                <w:rFonts w:ascii="宋体" w:eastAsia="宋体" w:hAnsi="宋体" w:cs="宋体"/>
                <w:sz w:val="18"/>
                <w:szCs w:val="18"/>
              </w:rPr>
            </w:pPr>
            <w:r>
              <w:rPr>
                <w:rFonts w:ascii="宋体" w:eastAsia="宋体" w:hAnsi="宋体" w:cs="宋体"/>
                <w:sz w:val="18"/>
                <w:szCs w:val="18"/>
              </w:rPr>
              <w:t>稀释每股收益（元/股）</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0.73%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0.03</w:t>
            </w:r>
          </w:p>
        </w:tc>
      </w:tr>
      <w:tr w:rsidR="00037019">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37019" w:rsidRDefault="00BE788E">
            <w:pPr>
              <w:spacing w:before="40" w:after="40" w:line="240" w:lineRule="exact"/>
              <w:rPr>
                <w:rFonts w:ascii="宋体" w:eastAsia="宋体" w:hAnsi="宋体" w:cs="宋体"/>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2410" w:type="dxa"/>
            <w:tcBorders>
              <w:top w:val="single" w:sz="2" w:space="0" w:color="auto"/>
              <w:left w:val="single" w:sz="2" w:space="0" w:color="auto"/>
              <w:bottom w:val="single" w:sz="2" w:space="0" w:color="auto"/>
              <w:right w:val="single" w:sz="2" w:space="0" w:color="auto"/>
            </w:tcBorders>
            <w:vAlign w:val="center"/>
          </w:tcPr>
          <w:p w:rsidR="00037019" w:rsidRDefault="00BE788E">
            <w:pPr>
              <w:spacing w:line="240" w:lineRule="exact"/>
              <w:jc w:val="right"/>
              <w:rPr>
                <w:rFonts w:ascii="宋体" w:eastAsia="宋体" w:hAnsi="宋体" w:cs="宋体"/>
                <w:sz w:val="18"/>
                <w:szCs w:val="18"/>
              </w:rPr>
            </w:pPr>
            <w:r>
              <w:rPr>
                <w:rFonts w:ascii="宋体" w:eastAsia="宋体" w:hAnsi="宋体" w:cs="宋体"/>
                <w:sz w:val="18"/>
                <w:szCs w:val="18"/>
              </w:rPr>
              <w:t>-0.01</w:t>
            </w:r>
          </w:p>
        </w:tc>
      </w:tr>
    </w:tbl>
    <w:p w:rsidR="00037019" w:rsidRDefault="00BE788E">
      <w:pPr>
        <w:pStyle w:val="3"/>
        <w:spacing w:line="280" w:lineRule="exact"/>
        <w:jc w:val="left"/>
        <w:rPr>
          <w:rFonts w:ascii="宋体" w:hAnsi="宋体" w:cs="宋体"/>
          <w:b/>
          <w:bCs/>
        </w:rPr>
      </w:pPr>
      <w:bookmarkStart w:id="507" w:name="_Toc989453"/>
      <w:r>
        <w:rPr>
          <w:rFonts w:ascii="宋体" w:hAnsi="宋体" w:cs="宋体"/>
          <w:b/>
          <w:bCs/>
        </w:rPr>
        <w:t>3、境内外会计准则下会计数据差异</w:t>
      </w:r>
      <w:bookmarkEnd w:id="507"/>
    </w:p>
    <w:p w:rsidR="00037019" w:rsidRDefault="00BE788E">
      <w:pPr>
        <w:keepNext/>
        <w:keepLines/>
        <w:spacing w:before="300" w:after="300" w:line="280" w:lineRule="exact"/>
        <w:outlineLvl w:val="3"/>
        <w:rPr>
          <w:rFonts w:ascii="宋体" w:eastAsia="宋体" w:hAnsi="宋体" w:cs="宋体"/>
          <w:b/>
          <w:bCs/>
          <w:szCs w:val="21"/>
        </w:rPr>
      </w:pPr>
      <w:bookmarkStart w:id="508" w:name="_Toc989454"/>
      <w:r>
        <w:rPr>
          <w:rFonts w:ascii="宋体" w:eastAsia="宋体" w:hAnsi="宋体" w:cs="宋体"/>
          <w:b/>
          <w:bCs/>
          <w:szCs w:val="21"/>
        </w:rPr>
        <w:t>（1） 同时按照国际会计准则与按中国会计准则披露的财务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508"/>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509" w:name="_Toc989455"/>
      <w:r>
        <w:rPr>
          <w:rFonts w:ascii="宋体" w:eastAsia="宋体" w:hAnsi="宋体" w:cs="宋体"/>
          <w:b/>
          <w:bCs/>
          <w:szCs w:val="21"/>
        </w:rPr>
        <w:t>（2） 同时按照境外会计准则与按中国会计准则披露的财务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509"/>
    </w:p>
    <w:p w:rsidR="00037019" w:rsidRDefault="00BE788E">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37019" w:rsidRDefault="00BE788E">
      <w:pPr>
        <w:keepNext/>
        <w:keepLines/>
        <w:spacing w:before="300" w:after="300" w:line="280" w:lineRule="exact"/>
        <w:outlineLvl w:val="3"/>
        <w:rPr>
          <w:rFonts w:ascii="宋体" w:eastAsia="宋体" w:hAnsi="宋体" w:cs="宋体"/>
          <w:b/>
          <w:bCs/>
          <w:szCs w:val="21"/>
        </w:rPr>
      </w:pPr>
      <w:bookmarkStart w:id="510" w:name="_Toc989456"/>
      <w:r>
        <w:rPr>
          <w:rFonts w:ascii="宋体" w:eastAsia="宋体" w:hAnsi="宋体" w:cs="宋体"/>
          <w:b/>
          <w:bCs/>
          <w:szCs w:val="21"/>
        </w:rPr>
        <w:t>（3） 境内外会计准则下会计数据差异原因说明，对已经境外审计机构审计的数据进行差异调节的，应注明该境外机构的名称</w:t>
      </w:r>
      <w:bookmarkEnd w:id="510"/>
    </w:p>
    <w:p w:rsidR="00037019" w:rsidRDefault="00BE788E">
      <w:pPr>
        <w:pStyle w:val="3"/>
        <w:spacing w:line="280" w:lineRule="exact"/>
        <w:jc w:val="left"/>
        <w:rPr>
          <w:rFonts w:ascii="宋体" w:hAnsi="宋体" w:cs="宋体"/>
          <w:b/>
          <w:bCs/>
        </w:rPr>
      </w:pPr>
      <w:bookmarkStart w:id="511" w:name="_Toc989457"/>
      <w:r>
        <w:rPr>
          <w:rFonts w:ascii="宋体" w:hAnsi="宋体" w:cs="宋体"/>
          <w:b/>
          <w:bCs/>
        </w:rPr>
        <w:t>4、其他</w:t>
      </w:r>
      <w:bookmarkEnd w:id="511"/>
    </w:p>
    <w:p w:rsidR="00BE788E" w:rsidRDefault="00BE788E">
      <w:pPr>
        <w:pStyle w:val="a3"/>
        <w:divId w:val="1722174453"/>
        <w:rPr>
          <w:sz w:val="18"/>
          <w:szCs w:val="18"/>
        </w:rPr>
      </w:pPr>
      <w:r>
        <w:rPr>
          <w:rFonts w:hint="eastAsia"/>
          <w:sz w:val="18"/>
          <w:szCs w:val="18"/>
        </w:rPr>
        <w:t>无。</w:t>
      </w:r>
    </w:p>
    <w:p w:rsidR="006E5D7D" w:rsidRDefault="006E5D7D" w:rsidP="006E5D7D">
      <w:pPr>
        <w:pStyle w:val="a3"/>
        <w:jc w:val="right"/>
        <w:divId w:val="1722174453"/>
        <w:rPr>
          <w:sz w:val="18"/>
          <w:szCs w:val="18"/>
        </w:rPr>
      </w:pPr>
      <w:r>
        <w:rPr>
          <w:rFonts w:hint="eastAsia"/>
          <w:sz w:val="18"/>
          <w:szCs w:val="18"/>
        </w:rPr>
        <w:t>华孚时尚股份有限公司</w:t>
      </w:r>
    </w:p>
    <w:p w:rsidR="006E5D7D" w:rsidRDefault="006E5D7D" w:rsidP="006E5D7D">
      <w:pPr>
        <w:pStyle w:val="a3"/>
        <w:jc w:val="right"/>
        <w:divId w:val="1722174453"/>
        <w:rPr>
          <w:sz w:val="18"/>
          <w:szCs w:val="18"/>
        </w:rPr>
      </w:pPr>
      <w:r>
        <w:rPr>
          <w:rFonts w:hint="eastAsia"/>
          <w:sz w:val="18"/>
          <w:szCs w:val="18"/>
        </w:rPr>
        <w:t>2024年8月31日</w:t>
      </w:r>
    </w:p>
    <w:sectPr w:rsidR="006E5D7D" w:rsidSect="00C67D9A">
      <w:headerReference w:type="default" r:id="rId9"/>
      <w:footerReference w:type="default" r:id="rId10"/>
      <w:pgSz w:w="11905" w:h="16840"/>
      <w:pgMar w:top="1440" w:right="1134" w:bottom="156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D41" w:rsidRDefault="00A47D41">
      <w:r>
        <w:separator/>
      </w:r>
    </w:p>
  </w:endnote>
  <w:endnote w:type="continuationSeparator" w:id="0">
    <w:p w:rsidR="00A47D41" w:rsidRDefault="00A4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D41" w:rsidRDefault="00A47D41">
    <w:pPr>
      <w:pStyle w:val="fotter1"/>
    </w:pPr>
    <w:r>
      <w:fldChar w:fldCharType="begin"/>
    </w:r>
    <w:r>
      <w:instrText>PAGE   \* MERGEFORMAT</w:instrText>
    </w:r>
    <w:r>
      <w:fldChar w:fldCharType="separate"/>
    </w:r>
    <w:r w:rsidR="0081017E">
      <w:rPr>
        <w:noProof/>
      </w:rPr>
      <w:t>167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D41" w:rsidRDefault="00A47D41">
      <w:r>
        <w:separator/>
      </w:r>
    </w:p>
  </w:footnote>
  <w:footnote w:type="continuationSeparator" w:id="0">
    <w:p w:rsidR="00A47D41" w:rsidRDefault="00A47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D41" w:rsidRDefault="00A47D41">
    <w:pPr>
      <w:pStyle w:val="Header1"/>
      <w:pBdr>
        <w:bottom w:val="single" w:sz="6" w:space="1" w:color="auto"/>
      </w:pBdr>
    </w:pPr>
    <w:r>
      <w:t>华孚时尚股份有限公司2024年半年度报告全文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074"/>
    <w:multiLevelType w:val="multilevel"/>
    <w:tmpl w:val="4D96DA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E5810"/>
    <w:multiLevelType w:val="multilevel"/>
    <w:tmpl w:val="5A804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7978D6"/>
    <w:multiLevelType w:val="multilevel"/>
    <w:tmpl w:val="EF52AA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BE4DCD"/>
    <w:multiLevelType w:val="multilevel"/>
    <w:tmpl w:val="E60862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182F7B"/>
    <w:multiLevelType w:val="multilevel"/>
    <w:tmpl w:val="96F6E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346907"/>
    <w:multiLevelType w:val="multilevel"/>
    <w:tmpl w:val="1166D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C03F60"/>
    <w:multiLevelType w:val="multilevel"/>
    <w:tmpl w:val="FE20B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8A4312"/>
    <w:multiLevelType w:val="multilevel"/>
    <w:tmpl w:val="873C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8F70C6F"/>
    <w:multiLevelType w:val="multilevel"/>
    <w:tmpl w:val="57C0E4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1822D6"/>
    <w:multiLevelType w:val="multilevel"/>
    <w:tmpl w:val="3CA63F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006407"/>
    <w:multiLevelType w:val="multilevel"/>
    <w:tmpl w:val="340AD6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F510CD"/>
    <w:multiLevelType w:val="multilevel"/>
    <w:tmpl w:val="740C88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BD0FE1"/>
    <w:multiLevelType w:val="multilevel"/>
    <w:tmpl w:val="B0CAB1E2"/>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9E0055"/>
    <w:multiLevelType w:val="multilevel"/>
    <w:tmpl w:val="DD9685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BA2302"/>
    <w:multiLevelType w:val="multilevel"/>
    <w:tmpl w:val="86E6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94A7067"/>
    <w:multiLevelType w:val="multilevel"/>
    <w:tmpl w:val="CAE0B0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B291AB3"/>
    <w:multiLevelType w:val="multilevel"/>
    <w:tmpl w:val="FE56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C171E2"/>
    <w:multiLevelType w:val="multilevel"/>
    <w:tmpl w:val="8F0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C075E17"/>
    <w:multiLevelType w:val="multilevel"/>
    <w:tmpl w:val="E21AA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C1577FB"/>
    <w:multiLevelType w:val="multilevel"/>
    <w:tmpl w:val="6A826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D477139"/>
    <w:multiLevelType w:val="multilevel"/>
    <w:tmpl w:val="E0C6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DE51FCD"/>
    <w:multiLevelType w:val="multilevel"/>
    <w:tmpl w:val="4796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23691D"/>
    <w:multiLevelType w:val="multilevel"/>
    <w:tmpl w:val="9B06D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ED4D85"/>
    <w:multiLevelType w:val="multilevel"/>
    <w:tmpl w:val="3C3E8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EA3D68"/>
    <w:multiLevelType w:val="multilevel"/>
    <w:tmpl w:val="E2768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8E2190"/>
    <w:multiLevelType w:val="multilevel"/>
    <w:tmpl w:val="AA7E3E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195842"/>
    <w:multiLevelType w:val="multilevel"/>
    <w:tmpl w:val="4CBC48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55181E"/>
    <w:multiLevelType w:val="multilevel"/>
    <w:tmpl w:val="C9E00C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7E7771C"/>
    <w:multiLevelType w:val="multilevel"/>
    <w:tmpl w:val="A484F4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8755BCB"/>
    <w:multiLevelType w:val="multilevel"/>
    <w:tmpl w:val="8E700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975291F"/>
    <w:multiLevelType w:val="multilevel"/>
    <w:tmpl w:val="76541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9C5134C"/>
    <w:multiLevelType w:val="multilevel"/>
    <w:tmpl w:val="F942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2B385180"/>
    <w:multiLevelType w:val="multilevel"/>
    <w:tmpl w:val="B6CE8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B7B3D62"/>
    <w:multiLevelType w:val="multilevel"/>
    <w:tmpl w:val="31B43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D7B7D1A"/>
    <w:multiLevelType w:val="multilevel"/>
    <w:tmpl w:val="3EB2B3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EBF0B84"/>
    <w:multiLevelType w:val="multilevel"/>
    <w:tmpl w:val="D19CD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15376F2"/>
    <w:multiLevelType w:val="multilevel"/>
    <w:tmpl w:val="CAFC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31E025B1"/>
    <w:multiLevelType w:val="multilevel"/>
    <w:tmpl w:val="659C85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20A5825"/>
    <w:multiLevelType w:val="multilevel"/>
    <w:tmpl w:val="740E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2B470FD"/>
    <w:multiLevelType w:val="multilevel"/>
    <w:tmpl w:val="B6F8C1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2D12A8D"/>
    <w:multiLevelType w:val="multilevel"/>
    <w:tmpl w:val="362C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C5BBC"/>
    <w:multiLevelType w:val="multilevel"/>
    <w:tmpl w:val="0ADE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4EF6D22"/>
    <w:multiLevelType w:val="multilevel"/>
    <w:tmpl w:val="15641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5FD6853"/>
    <w:multiLevelType w:val="multilevel"/>
    <w:tmpl w:val="028E47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70752B3"/>
    <w:multiLevelType w:val="multilevel"/>
    <w:tmpl w:val="C7E0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884712C"/>
    <w:multiLevelType w:val="multilevel"/>
    <w:tmpl w:val="CB9E21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9A7090D"/>
    <w:multiLevelType w:val="multilevel"/>
    <w:tmpl w:val="C0D40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B585DE3"/>
    <w:multiLevelType w:val="multilevel"/>
    <w:tmpl w:val="4C0822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E905E93"/>
    <w:multiLevelType w:val="multilevel"/>
    <w:tmpl w:val="00003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F0C780F"/>
    <w:multiLevelType w:val="multilevel"/>
    <w:tmpl w:val="4D2C0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F462E52"/>
    <w:multiLevelType w:val="multilevel"/>
    <w:tmpl w:val="5D5CF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3F7819BE"/>
    <w:multiLevelType w:val="multilevel"/>
    <w:tmpl w:val="99361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FB82FA0"/>
    <w:multiLevelType w:val="multilevel"/>
    <w:tmpl w:val="A4BA2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403E489F"/>
    <w:multiLevelType w:val="multilevel"/>
    <w:tmpl w:val="6392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408F7E4C"/>
    <w:multiLevelType w:val="multilevel"/>
    <w:tmpl w:val="17DCD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16504AA"/>
    <w:multiLevelType w:val="multilevel"/>
    <w:tmpl w:val="18025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17C04BF"/>
    <w:multiLevelType w:val="multilevel"/>
    <w:tmpl w:val="63A87B32"/>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220004D"/>
    <w:multiLevelType w:val="multilevel"/>
    <w:tmpl w:val="8668E1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28D67BB"/>
    <w:multiLevelType w:val="multilevel"/>
    <w:tmpl w:val="65A27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3572523"/>
    <w:multiLevelType w:val="multilevel"/>
    <w:tmpl w:val="C5CCA0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4A95ACE"/>
    <w:multiLevelType w:val="multilevel"/>
    <w:tmpl w:val="BE80D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6B7107C"/>
    <w:multiLevelType w:val="multilevel"/>
    <w:tmpl w:val="1E9A6E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72640CF"/>
    <w:multiLevelType w:val="multilevel"/>
    <w:tmpl w:val="0D0CB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8A80C46"/>
    <w:multiLevelType w:val="multilevel"/>
    <w:tmpl w:val="2A207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A920909"/>
    <w:multiLevelType w:val="multilevel"/>
    <w:tmpl w:val="A0F2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B1C3EF3"/>
    <w:multiLevelType w:val="multilevel"/>
    <w:tmpl w:val="5B16EB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B3D2447"/>
    <w:multiLevelType w:val="multilevel"/>
    <w:tmpl w:val="C4D4B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D382D60"/>
    <w:multiLevelType w:val="multilevel"/>
    <w:tmpl w:val="102A9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D3B100A"/>
    <w:multiLevelType w:val="multilevel"/>
    <w:tmpl w:val="E42615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E3C2971"/>
    <w:multiLevelType w:val="multilevel"/>
    <w:tmpl w:val="324628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E5D131A"/>
    <w:multiLevelType w:val="multilevel"/>
    <w:tmpl w:val="13ACF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F58335C"/>
    <w:multiLevelType w:val="multilevel"/>
    <w:tmpl w:val="30B88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FB4635F"/>
    <w:multiLevelType w:val="multilevel"/>
    <w:tmpl w:val="F20C79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06E4C24"/>
    <w:multiLevelType w:val="multilevel"/>
    <w:tmpl w:val="726C1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0E76AB1"/>
    <w:multiLevelType w:val="multilevel"/>
    <w:tmpl w:val="A9582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53581D51"/>
    <w:multiLevelType w:val="multilevel"/>
    <w:tmpl w:val="DCECE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37D1D28"/>
    <w:multiLevelType w:val="multilevel"/>
    <w:tmpl w:val="91A27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3BE632C"/>
    <w:multiLevelType w:val="multilevel"/>
    <w:tmpl w:val="BAD4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4190537"/>
    <w:multiLevelType w:val="multilevel"/>
    <w:tmpl w:val="832CC2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791296B"/>
    <w:multiLevelType w:val="multilevel"/>
    <w:tmpl w:val="705008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7EC53D5"/>
    <w:multiLevelType w:val="multilevel"/>
    <w:tmpl w:val="B4D2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58404CAD"/>
    <w:multiLevelType w:val="multilevel"/>
    <w:tmpl w:val="B3763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87A7B86"/>
    <w:multiLevelType w:val="multilevel"/>
    <w:tmpl w:val="390AB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B6B6E78"/>
    <w:multiLevelType w:val="multilevel"/>
    <w:tmpl w:val="9F5AA79E"/>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D1C3AF7"/>
    <w:multiLevelType w:val="multilevel"/>
    <w:tmpl w:val="AC607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E7C0355"/>
    <w:multiLevelType w:val="multilevel"/>
    <w:tmpl w:val="F6D02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0045080"/>
    <w:multiLevelType w:val="multilevel"/>
    <w:tmpl w:val="13809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62CB4666"/>
    <w:multiLevelType w:val="multilevel"/>
    <w:tmpl w:val="EDAC8A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BA2D09"/>
    <w:multiLevelType w:val="multilevel"/>
    <w:tmpl w:val="BF1C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674A5291"/>
    <w:multiLevelType w:val="multilevel"/>
    <w:tmpl w:val="ADFACF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682524A6"/>
    <w:multiLevelType w:val="multilevel"/>
    <w:tmpl w:val="47804C14"/>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87D4B72"/>
    <w:multiLevelType w:val="multilevel"/>
    <w:tmpl w:val="11D6A7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9B87CB7"/>
    <w:multiLevelType w:val="multilevel"/>
    <w:tmpl w:val="BBDC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70C05485"/>
    <w:multiLevelType w:val="multilevel"/>
    <w:tmpl w:val="6BA4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10634E2"/>
    <w:multiLevelType w:val="multilevel"/>
    <w:tmpl w:val="08D6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71255798"/>
    <w:multiLevelType w:val="multilevel"/>
    <w:tmpl w:val="45F8C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1D3741E"/>
    <w:multiLevelType w:val="multilevel"/>
    <w:tmpl w:val="04BAA59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26B33C1"/>
    <w:multiLevelType w:val="multilevel"/>
    <w:tmpl w:val="6AD6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29E79A5"/>
    <w:multiLevelType w:val="multilevel"/>
    <w:tmpl w:val="E9D89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2E579E0"/>
    <w:multiLevelType w:val="multilevel"/>
    <w:tmpl w:val="A9CA5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33A43C8"/>
    <w:multiLevelType w:val="multilevel"/>
    <w:tmpl w:val="1D0C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3974568"/>
    <w:multiLevelType w:val="multilevel"/>
    <w:tmpl w:val="E1C83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747B620F"/>
    <w:multiLevelType w:val="multilevel"/>
    <w:tmpl w:val="3034C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nsid w:val="76C8156F"/>
    <w:multiLevelType w:val="multilevel"/>
    <w:tmpl w:val="FA9A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77856EB6"/>
    <w:multiLevelType w:val="multilevel"/>
    <w:tmpl w:val="00307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95C04AA"/>
    <w:multiLevelType w:val="multilevel"/>
    <w:tmpl w:val="442EE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ABC5F39"/>
    <w:multiLevelType w:val="multilevel"/>
    <w:tmpl w:val="A7E4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7C9C4A8F"/>
    <w:multiLevelType w:val="multilevel"/>
    <w:tmpl w:val="46EC5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DCE0A93"/>
    <w:multiLevelType w:val="multilevel"/>
    <w:tmpl w:val="922871D2"/>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DEB795C"/>
    <w:multiLevelType w:val="multilevel"/>
    <w:tmpl w:val="32B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1"/>
  </w:num>
  <w:num w:numId="3">
    <w:abstractNumId w:val="91"/>
  </w:num>
  <w:num w:numId="4">
    <w:abstractNumId w:val="34"/>
  </w:num>
  <w:num w:numId="5">
    <w:abstractNumId w:val="58"/>
  </w:num>
  <w:num w:numId="6">
    <w:abstractNumId w:val="30"/>
  </w:num>
  <w:num w:numId="7">
    <w:abstractNumId w:val="27"/>
  </w:num>
  <w:num w:numId="8">
    <w:abstractNumId w:val="109"/>
  </w:num>
  <w:num w:numId="9">
    <w:abstractNumId w:val="31"/>
  </w:num>
  <w:num w:numId="10">
    <w:abstractNumId w:val="94"/>
  </w:num>
  <w:num w:numId="11">
    <w:abstractNumId w:val="106"/>
  </w:num>
  <w:num w:numId="12">
    <w:abstractNumId w:val="35"/>
  </w:num>
  <w:num w:numId="13">
    <w:abstractNumId w:val="102"/>
  </w:num>
  <w:num w:numId="14">
    <w:abstractNumId w:val="37"/>
  </w:num>
  <w:num w:numId="15">
    <w:abstractNumId w:val="86"/>
  </w:num>
  <w:num w:numId="16">
    <w:abstractNumId w:val="88"/>
  </w:num>
  <w:num w:numId="17">
    <w:abstractNumId w:val="5"/>
  </w:num>
  <w:num w:numId="18">
    <w:abstractNumId w:val="81"/>
  </w:num>
  <w:num w:numId="19">
    <w:abstractNumId w:val="105"/>
  </w:num>
  <w:num w:numId="20">
    <w:abstractNumId w:val="64"/>
  </w:num>
  <w:num w:numId="21">
    <w:abstractNumId w:val="77"/>
  </w:num>
  <w:num w:numId="22">
    <w:abstractNumId w:val="40"/>
  </w:num>
  <w:num w:numId="23">
    <w:abstractNumId w:val="21"/>
  </w:num>
  <w:num w:numId="24">
    <w:abstractNumId w:val="49"/>
  </w:num>
  <w:num w:numId="25">
    <w:abstractNumId w:val="63"/>
  </w:num>
  <w:num w:numId="26">
    <w:abstractNumId w:val="98"/>
  </w:num>
  <w:num w:numId="27">
    <w:abstractNumId w:val="16"/>
  </w:num>
  <w:num w:numId="28">
    <w:abstractNumId w:val="71"/>
  </w:num>
  <w:num w:numId="29">
    <w:abstractNumId w:val="85"/>
  </w:num>
  <w:num w:numId="30">
    <w:abstractNumId w:val="66"/>
  </w:num>
  <w:num w:numId="31">
    <w:abstractNumId w:val="10"/>
  </w:num>
  <w:num w:numId="32">
    <w:abstractNumId w:val="62"/>
  </w:num>
  <w:num w:numId="33">
    <w:abstractNumId w:val="87"/>
  </w:num>
  <w:num w:numId="34">
    <w:abstractNumId w:val="44"/>
  </w:num>
  <w:num w:numId="35">
    <w:abstractNumId w:val="74"/>
  </w:num>
  <w:num w:numId="36">
    <w:abstractNumId w:val="38"/>
  </w:num>
  <w:num w:numId="37">
    <w:abstractNumId w:val="104"/>
  </w:num>
  <w:num w:numId="38">
    <w:abstractNumId w:val="7"/>
  </w:num>
  <w:num w:numId="39">
    <w:abstractNumId w:val="82"/>
  </w:num>
  <w:num w:numId="40">
    <w:abstractNumId w:val="15"/>
  </w:num>
  <w:num w:numId="41">
    <w:abstractNumId w:val="8"/>
  </w:num>
  <w:num w:numId="42">
    <w:abstractNumId w:val="48"/>
  </w:num>
  <w:num w:numId="43">
    <w:abstractNumId w:val="99"/>
  </w:num>
  <w:num w:numId="44">
    <w:abstractNumId w:val="46"/>
  </w:num>
  <w:num w:numId="45">
    <w:abstractNumId w:val="41"/>
  </w:num>
  <w:num w:numId="46">
    <w:abstractNumId w:val="25"/>
  </w:num>
  <w:num w:numId="47">
    <w:abstractNumId w:val="93"/>
  </w:num>
  <w:num w:numId="48">
    <w:abstractNumId w:val="100"/>
  </w:num>
  <w:num w:numId="49">
    <w:abstractNumId w:val="9"/>
  </w:num>
  <w:num w:numId="50">
    <w:abstractNumId w:val="57"/>
  </w:num>
  <w:num w:numId="51">
    <w:abstractNumId w:val="20"/>
  </w:num>
  <w:num w:numId="52">
    <w:abstractNumId w:val="17"/>
  </w:num>
  <w:num w:numId="53">
    <w:abstractNumId w:val="36"/>
  </w:num>
  <w:num w:numId="54">
    <w:abstractNumId w:val="1"/>
  </w:num>
  <w:num w:numId="55">
    <w:abstractNumId w:val="83"/>
  </w:num>
  <w:num w:numId="56">
    <w:abstractNumId w:val="32"/>
  </w:num>
  <w:num w:numId="57">
    <w:abstractNumId w:val="42"/>
  </w:num>
  <w:num w:numId="58">
    <w:abstractNumId w:val="33"/>
  </w:num>
  <w:num w:numId="59">
    <w:abstractNumId w:val="54"/>
  </w:num>
  <w:num w:numId="60">
    <w:abstractNumId w:val="2"/>
  </w:num>
  <w:num w:numId="61">
    <w:abstractNumId w:val="28"/>
  </w:num>
  <w:num w:numId="62">
    <w:abstractNumId w:val="14"/>
  </w:num>
  <w:num w:numId="63">
    <w:abstractNumId w:val="43"/>
  </w:num>
  <w:num w:numId="64">
    <w:abstractNumId w:val="107"/>
  </w:num>
  <w:num w:numId="65">
    <w:abstractNumId w:val="47"/>
  </w:num>
  <w:num w:numId="66">
    <w:abstractNumId w:val="45"/>
  </w:num>
  <w:num w:numId="67">
    <w:abstractNumId w:val="75"/>
  </w:num>
  <w:num w:numId="68">
    <w:abstractNumId w:val="89"/>
  </w:num>
  <w:num w:numId="69">
    <w:abstractNumId w:val="96"/>
  </w:num>
  <w:num w:numId="70">
    <w:abstractNumId w:val="103"/>
  </w:num>
  <w:num w:numId="71">
    <w:abstractNumId w:val="50"/>
  </w:num>
  <w:num w:numId="72">
    <w:abstractNumId w:val="84"/>
  </w:num>
  <w:num w:numId="73">
    <w:abstractNumId w:val="56"/>
  </w:num>
  <w:num w:numId="74">
    <w:abstractNumId w:val="101"/>
  </w:num>
  <w:num w:numId="75">
    <w:abstractNumId w:val="39"/>
  </w:num>
  <w:num w:numId="76">
    <w:abstractNumId w:val="70"/>
  </w:num>
  <w:num w:numId="77">
    <w:abstractNumId w:val="68"/>
  </w:num>
  <w:num w:numId="78">
    <w:abstractNumId w:val="55"/>
  </w:num>
  <w:num w:numId="79">
    <w:abstractNumId w:val="95"/>
  </w:num>
  <w:num w:numId="80">
    <w:abstractNumId w:val="79"/>
  </w:num>
  <w:num w:numId="81">
    <w:abstractNumId w:val="11"/>
  </w:num>
  <w:num w:numId="82">
    <w:abstractNumId w:val="60"/>
  </w:num>
  <w:num w:numId="83">
    <w:abstractNumId w:val="19"/>
  </w:num>
  <w:num w:numId="84">
    <w:abstractNumId w:val="26"/>
  </w:num>
  <w:num w:numId="85">
    <w:abstractNumId w:val="73"/>
  </w:num>
  <w:num w:numId="86">
    <w:abstractNumId w:val="69"/>
  </w:num>
  <w:num w:numId="87">
    <w:abstractNumId w:val="90"/>
  </w:num>
  <w:num w:numId="88">
    <w:abstractNumId w:val="108"/>
  </w:num>
  <w:num w:numId="89">
    <w:abstractNumId w:val="12"/>
  </w:num>
  <w:num w:numId="90">
    <w:abstractNumId w:val="51"/>
  </w:num>
  <w:num w:numId="91">
    <w:abstractNumId w:val="3"/>
  </w:num>
  <w:num w:numId="92">
    <w:abstractNumId w:val="13"/>
  </w:num>
  <w:num w:numId="93">
    <w:abstractNumId w:val="18"/>
  </w:num>
  <w:num w:numId="94">
    <w:abstractNumId w:val="0"/>
  </w:num>
  <w:num w:numId="95">
    <w:abstractNumId w:val="72"/>
  </w:num>
  <w:num w:numId="96">
    <w:abstractNumId w:val="67"/>
  </w:num>
  <w:num w:numId="97">
    <w:abstractNumId w:val="22"/>
  </w:num>
  <w:num w:numId="98">
    <w:abstractNumId w:val="80"/>
  </w:num>
  <w:num w:numId="99">
    <w:abstractNumId w:val="92"/>
  </w:num>
  <w:num w:numId="100">
    <w:abstractNumId w:val="6"/>
  </w:num>
  <w:num w:numId="101">
    <w:abstractNumId w:val="65"/>
  </w:num>
  <w:num w:numId="102">
    <w:abstractNumId w:val="78"/>
  </w:num>
  <w:num w:numId="103">
    <w:abstractNumId w:val="76"/>
  </w:num>
  <w:num w:numId="104">
    <w:abstractNumId w:val="52"/>
  </w:num>
  <w:num w:numId="105">
    <w:abstractNumId w:val="53"/>
  </w:num>
  <w:num w:numId="106">
    <w:abstractNumId w:val="23"/>
  </w:num>
  <w:num w:numId="107">
    <w:abstractNumId w:val="59"/>
  </w:num>
  <w:num w:numId="108">
    <w:abstractNumId w:val="97"/>
  </w:num>
  <w:num w:numId="109">
    <w:abstractNumId w:val="29"/>
  </w:num>
  <w:num w:numId="110">
    <w:abstractNumId w:val="24"/>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
  <w:rsids>
    <w:rsidRoot w:val="00037019"/>
    <w:rsid w:val="00037019"/>
    <w:rsid w:val="0004321C"/>
    <w:rsid w:val="00091CA9"/>
    <w:rsid w:val="000B4C2A"/>
    <w:rsid w:val="00132B02"/>
    <w:rsid w:val="00223D69"/>
    <w:rsid w:val="002747D2"/>
    <w:rsid w:val="0031624D"/>
    <w:rsid w:val="00326F0C"/>
    <w:rsid w:val="00382FC5"/>
    <w:rsid w:val="003940A7"/>
    <w:rsid w:val="003D672D"/>
    <w:rsid w:val="004A532F"/>
    <w:rsid w:val="004E7FBF"/>
    <w:rsid w:val="005F7252"/>
    <w:rsid w:val="00604E99"/>
    <w:rsid w:val="006B7DD1"/>
    <w:rsid w:val="006E5D7D"/>
    <w:rsid w:val="007539BF"/>
    <w:rsid w:val="00763A7A"/>
    <w:rsid w:val="0081017E"/>
    <w:rsid w:val="008561C1"/>
    <w:rsid w:val="00897859"/>
    <w:rsid w:val="00903029"/>
    <w:rsid w:val="00916AA1"/>
    <w:rsid w:val="00940CBE"/>
    <w:rsid w:val="00A46FA3"/>
    <w:rsid w:val="00A47D41"/>
    <w:rsid w:val="00A57714"/>
    <w:rsid w:val="00AC0334"/>
    <w:rsid w:val="00AF3B62"/>
    <w:rsid w:val="00B362E5"/>
    <w:rsid w:val="00B566E0"/>
    <w:rsid w:val="00BC1A62"/>
    <w:rsid w:val="00BE50FA"/>
    <w:rsid w:val="00BE788E"/>
    <w:rsid w:val="00C34228"/>
    <w:rsid w:val="00C67D9A"/>
    <w:rsid w:val="00E860B2"/>
    <w:rsid w:val="00EB1417"/>
    <w:rsid w:val="00F34484"/>
    <w:rsid w:val="00F45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styleId="a5">
    <w:name w:val="Strong"/>
    <w:basedOn w:val="a0"/>
    <w:uiPriority w:val="22"/>
    <w:qFormat/>
    <w:rPr>
      <w:b/>
      <w:bCs/>
    </w:rPr>
  </w:style>
  <w:style w:type="character" w:customStyle="1" w:styleId="15">
    <w:name w:val="15"/>
    <w:basedOn w:val="a0"/>
  </w:style>
  <w:style w:type="paragraph" w:styleId="a6">
    <w:name w:val="header"/>
    <w:basedOn w:val="a"/>
    <w:link w:val="Char"/>
    <w:uiPriority w:val="99"/>
    <w:unhideWhenUsed/>
    <w:rsid w:val="009030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03029"/>
    <w:rPr>
      <w:sz w:val="18"/>
      <w:szCs w:val="18"/>
    </w:rPr>
  </w:style>
  <w:style w:type="paragraph" w:styleId="a7">
    <w:name w:val="footer"/>
    <w:basedOn w:val="a"/>
    <w:link w:val="Char0"/>
    <w:uiPriority w:val="99"/>
    <w:unhideWhenUsed/>
    <w:rsid w:val="00903029"/>
    <w:pPr>
      <w:tabs>
        <w:tab w:val="center" w:pos="4153"/>
        <w:tab w:val="right" w:pos="8306"/>
      </w:tabs>
      <w:snapToGrid w:val="0"/>
    </w:pPr>
    <w:rPr>
      <w:sz w:val="18"/>
      <w:szCs w:val="18"/>
    </w:rPr>
  </w:style>
  <w:style w:type="character" w:customStyle="1" w:styleId="Char0">
    <w:name w:val="页脚 Char"/>
    <w:basedOn w:val="a0"/>
    <w:link w:val="a7"/>
    <w:uiPriority w:val="99"/>
    <w:rsid w:val="00903029"/>
    <w:rPr>
      <w:sz w:val="18"/>
      <w:szCs w:val="18"/>
    </w:rPr>
  </w:style>
  <w:style w:type="paragraph" w:styleId="a8">
    <w:name w:val="Balloon Text"/>
    <w:basedOn w:val="a"/>
    <w:link w:val="Char1"/>
    <w:uiPriority w:val="99"/>
    <w:semiHidden/>
    <w:unhideWhenUsed/>
    <w:rsid w:val="00903029"/>
    <w:rPr>
      <w:sz w:val="18"/>
      <w:szCs w:val="18"/>
    </w:rPr>
  </w:style>
  <w:style w:type="character" w:customStyle="1" w:styleId="Char1">
    <w:name w:val="批注框文本 Char"/>
    <w:basedOn w:val="a0"/>
    <w:link w:val="a8"/>
    <w:uiPriority w:val="99"/>
    <w:semiHidden/>
    <w:rsid w:val="0090302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styleId="a5">
    <w:name w:val="Strong"/>
    <w:basedOn w:val="a0"/>
    <w:uiPriority w:val="22"/>
    <w:qFormat/>
    <w:rPr>
      <w:b/>
      <w:bCs/>
    </w:rPr>
  </w:style>
  <w:style w:type="character" w:customStyle="1" w:styleId="15">
    <w:name w:val="15"/>
    <w:basedOn w:val="a0"/>
  </w:style>
  <w:style w:type="paragraph" w:styleId="a6">
    <w:name w:val="header"/>
    <w:basedOn w:val="a"/>
    <w:link w:val="Char"/>
    <w:uiPriority w:val="99"/>
    <w:unhideWhenUsed/>
    <w:rsid w:val="009030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03029"/>
    <w:rPr>
      <w:sz w:val="18"/>
      <w:szCs w:val="18"/>
    </w:rPr>
  </w:style>
  <w:style w:type="paragraph" w:styleId="a7">
    <w:name w:val="footer"/>
    <w:basedOn w:val="a"/>
    <w:link w:val="Char0"/>
    <w:uiPriority w:val="99"/>
    <w:unhideWhenUsed/>
    <w:rsid w:val="00903029"/>
    <w:pPr>
      <w:tabs>
        <w:tab w:val="center" w:pos="4153"/>
        <w:tab w:val="right" w:pos="8306"/>
      </w:tabs>
      <w:snapToGrid w:val="0"/>
    </w:pPr>
    <w:rPr>
      <w:sz w:val="18"/>
      <w:szCs w:val="18"/>
    </w:rPr>
  </w:style>
  <w:style w:type="character" w:customStyle="1" w:styleId="Char0">
    <w:name w:val="页脚 Char"/>
    <w:basedOn w:val="a0"/>
    <w:link w:val="a7"/>
    <w:uiPriority w:val="99"/>
    <w:rsid w:val="00903029"/>
    <w:rPr>
      <w:sz w:val="18"/>
      <w:szCs w:val="18"/>
    </w:rPr>
  </w:style>
  <w:style w:type="paragraph" w:styleId="a8">
    <w:name w:val="Balloon Text"/>
    <w:basedOn w:val="a"/>
    <w:link w:val="Char1"/>
    <w:uiPriority w:val="99"/>
    <w:semiHidden/>
    <w:unhideWhenUsed/>
    <w:rsid w:val="00903029"/>
    <w:rPr>
      <w:sz w:val="18"/>
      <w:szCs w:val="18"/>
    </w:rPr>
  </w:style>
  <w:style w:type="character" w:customStyle="1" w:styleId="Char1">
    <w:name w:val="批注框文本 Char"/>
    <w:basedOn w:val="a0"/>
    <w:link w:val="a8"/>
    <w:uiPriority w:val="99"/>
    <w:semiHidden/>
    <w:rsid w:val="009030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6952">
      <w:bodyDiv w:val="1"/>
      <w:marLeft w:val="0"/>
      <w:marRight w:val="0"/>
      <w:marTop w:val="0"/>
      <w:marBottom w:val="0"/>
      <w:divBdr>
        <w:top w:val="none" w:sz="0" w:space="0" w:color="auto"/>
        <w:left w:val="none" w:sz="0" w:space="0" w:color="auto"/>
        <w:bottom w:val="none" w:sz="0" w:space="0" w:color="auto"/>
        <w:right w:val="none" w:sz="0" w:space="0" w:color="auto"/>
      </w:divBdr>
    </w:div>
    <w:div w:id="6292361">
      <w:bodyDiv w:val="1"/>
      <w:marLeft w:val="0"/>
      <w:marRight w:val="0"/>
      <w:marTop w:val="0"/>
      <w:marBottom w:val="0"/>
      <w:divBdr>
        <w:top w:val="none" w:sz="0" w:space="0" w:color="auto"/>
        <w:left w:val="none" w:sz="0" w:space="0" w:color="auto"/>
        <w:bottom w:val="none" w:sz="0" w:space="0" w:color="auto"/>
        <w:right w:val="none" w:sz="0" w:space="0" w:color="auto"/>
      </w:divBdr>
    </w:div>
    <w:div w:id="15349217">
      <w:bodyDiv w:val="1"/>
      <w:marLeft w:val="0"/>
      <w:marRight w:val="0"/>
      <w:marTop w:val="0"/>
      <w:marBottom w:val="0"/>
      <w:divBdr>
        <w:top w:val="none" w:sz="0" w:space="0" w:color="auto"/>
        <w:left w:val="none" w:sz="0" w:space="0" w:color="auto"/>
        <w:bottom w:val="none" w:sz="0" w:space="0" w:color="auto"/>
        <w:right w:val="none" w:sz="0" w:space="0" w:color="auto"/>
      </w:divBdr>
    </w:div>
    <w:div w:id="22290996">
      <w:bodyDiv w:val="1"/>
      <w:marLeft w:val="0"/>
      <w:marRight w:val="0"/>
      <w:marTop w:val="0"/>
      <w:marBottom w:val="0"/>
      <w:divBdr>
        <w:top w:val="none" w:sz="0" w:space="0" w:color="auto"/>
        <w:left w:val="none" w:sz="0" w:space="0" w:color="auto"/>
        <w:bottom w:val="none" w:sz="0" w:space="0" w:color="auto"/>
        <w:right w:val="none" w:sz="0" w:space="0" w:color="auto"/>
      </w:divBdr>
    </w:div>
    <w:div w:id="22942829">
      <w:bodyDiv w:val="1"/>
      <w:marLeft w:val="0"/>
      <w:marRight w:val="0"/>
      <w:marTop w:val="0"/>
      <w:marBottom w:val="0"/>
      <w:divBdr>
        <w:top w:val="none" w:sz="0" w:space="0" w:color="auto"/>
        <w:left w:val="none" w:sz="0" w:space="0" w:color="auto"/>
        <w:bottom w:val="none" w:sz="0" w:space="0" w:color="auto"/>
        <w:right w:val="none" w:sz="0" w:space="0" w:color="auto"/>
      </w:divBdr>
    </w:div>
    <w:div w:id="31462548">
      <w:bodyDiv w:val="1"/>
      <w:marLeft w:val="0"/>
      <w:marRight w:val="0"/>
      <w:marTop w:val="0"/>
      <w:marBottom w:val="0"/>
      <w:divBdr>
        <w:top w:val="none" w:sz="0" w:space="0" w:color="auto"/>
        <w:left w:val="none" w:sz="0" w:space="0" w:color="auto"/>
        <w:bottom w:val="none" w:sz="0" w:space="0" w:color="auto"/>
        <w:right w:val="none" w:sz="0" w:space="0" w:color="auto"/>
      </w:divBdr>
    </w:div>
    <w:div w:id="32387804">
      <w:bodyDiv w:val="1"/>
      <w:marLeft w:val="0"/>
      <w:marRight w:val="0"/>
      <w:marTop w:val="0"/>
      <w:marBottom w:val="0"/>
      <w:divBdr>
        <w:top w:val="none" w:sz="0" w:space="0" w:color="auto"/>
        <w:left w:val="none" w:sz="0" w:space="0" w:color="auto"/>
        <w:bottom w:val="none" w:sz="0" w:space="0" w:color="auto"/>
        <w:right w:val="none" w:sz="0" w:space="0" w:color="auto"/>
      </w:divBdr>
    </w:div>
    <w:div w:id="35207124">
      <w:bodyDiv w:val="1"/>
      <w:marLeft w:val="0"/>
      <w:marRight w:val="0"/>
      <w:marTop w:val="0"/>
      <w:marBottom w:val="0"/>
      <w:divBdr>
        <w:top w:val="none" w:sz="0" w:space="0" w:color="auto"/>
        <w:left w:val="none" w:sz="0" w:space="0" w:color="auto"/>
        <w:bottom w:val="none" w:sz="0" w:space="0" w:color="auto"/>
        <w:right w:val="none" w:sz="0" w:space="0" w:color="auto"/>
      </w:divBdr>
    </w:div>
    <w:div w:id="39596949">
      <w:bodyDiv w:val="1"/>
      <w:marLeft w:val="0"/>
      <w:marRight w:val="0"/>
      <w:marTop w:val="0"/>
      <w:marBottom w:val="0"/>
      <w:divBdr>
        <w:top w:val="none" w:sz="0" w:space="0" w:color="auto"/>
        <w:left w:val="none" w:sz="0" w:space="0" w:color="auto"/>
        <w:bottom w:val="none" w:sz="0" w:space="0" w:color="auto"/>
        <w:right w:val="none" w:sz="0" w:space="0" w:color="auto"/>
      </w:divBdr>
    </w:div>
    <w:div w:id="42800828">
      <w:bodyDiv w:val="1"/>
      <w:marLeft w:val="0"/>
      <w:marRight w:val="0"/>
      <w:marTop w:val="0"/>
      <w:marBottom w:val="0"/>
      <w:divBdr>
        <w:top w:val="none" w:sz="0" w:space="0" w:color="auto"/>
        <w:left w:val="none" w:sz="0" w:space="0" w:color="auto"/>
        <w:bottom w:val="none" w:sz="0" w:space="0" w:color="auto"/>
        <w:right w:val="none" w:sz="0" w:space="0" w:color="auto"/>
      </w:divBdr>
    </w:div>
    <w:div w:id="46493132">
      <w:bodyDiv w:val="1"/>
      <w:marLeft w:val="0"/>
      <w:marRight w:val="0"/>
      <w:marTop w:val="0"/>
      <w:marBottom w:val="0"/>
      <w:divBdr>
        <w:top w:val="none" w:sz="0" w:space="0" w:color="auto"/>
        <w:left w:val="none" w:sz="0" w:space="0" w:color="auto"/>
        <w:bottom w:val="none" w:sz="0" w:space="0" w:color="auto"/>
        <w:right w:val="none" w:sz="0" w:space="0" w:color="auto"/>
      </w:divBdr>
    </w:div>
    <w:div w:id="60180415">
      <w:bodyDiv w:val="1"/>
      <w:marLeft w:val="0"/>
      <w:marRight w:val="0"/>
      <w:marTop w:val="0"/>
      <w:marBottom w:val="0"/>
      <w:divBdr>
        <w:top w:val="none" w:sz="0" w:space="0" w:color="auto"/>
        <w:left w:val="none" w:sz="0" w:space="0" w:color="auto"/>
        <w:bottom w:val="none" w:sz="0" w:space="0" w:color="auto"/>
        <w:right w:val="none" w:sz="0" w:space="0" w:color="auto"/>
      </w:divBdr>
    </w:div>
    <w:div w:id="60257324">
      <w:bodyDiv w:val="1"/>
      <w:marLeft w:val="0"/>
      <w:marRight w:val="0"/>
      <w:marTop w:val="0"/>
      <w:marBottom w:val="0"/>
      <w:divBdr>
        <w:top w:val="none" w:sz="0" w:space="0" w:color="auto"/>
        <w:left w:val="none" w:sz="0" w:space="0" w:color="auto"/>
        <w:bottom w:val="none" w:sz="0" w:space="0" w:color="auto"/>
        <w:right w:val="none" w:sz="0" w:space="0" w:color="auto"/>
      </w:divBdr>
    </w:div>
    <w:div w:id="80495786">
      <w:bodyDiv w:val="1"/>
      <w:marLeft w:val="0"/>
      <w:marRight w:val="0"/>
      <w:marTop w:val="0"/>
      <w:marBottom w:val="0"/>
      <w:divBdr>
        <w:top w:val="none" w:sz="0" w:space="0" w:color="auto"/>
        <w:left w:val="none" w:sz="0" w:space="0" w:color="auto"/>
        <w:bottom w:val="none" w:sz="0" w:space="0" w:color="auto"/>
        <w:right w:val="none" w:sz="0" w:space="0" w:color="auto"/>
      </w:divBdr>
    </w:div>
    <w:div w:id="84306440">
      <w:bodyDiv w:val="1"/>
      <w:marLeft w:val="0"/>
      <w:marRight w:val="0"/>
      <w:marTop w:val="0"/>
      <w:marBottom w:val="0"/>
      <w:divBdr>
        <w:top w:val="none" w:sz="0" w:space="0" w:color="auto"/>
        <w:left w:val="none" w:sz="0" w:space="0" w:color="auto"/>
        <w:bottom w:val="none" w:sz="0" w:space="0" w:color="auto"/>
        <w:right w:val="none" w:sz="0" w:space="0" w:color="auto"/>
      </w:divBdr>
    </w:div>
    <w:div w:id="95171836">
      <w:bodyDiv w:val="1"/>
      <w:marLeft w:val="0"/>
      <w:marRight w:val="0"/>
      <w:marTop w:val="0"/>
      <w:marBottom w:val="0"/>
      <w:divBdr>
        <w:top w:val="none" w:sz="0" w:space="0" w:color="auto"/>
        <w:left w:val="none" w:sz="0" w:space="0" w:color="auto"/>
        <w:bottom w:val="none" w:sz="0" w:space="0" w:color="auto"/>
        <w:right w:val="none" w:sz="0" w:space="0" w:color="auto"/>
      </w:divBdr>
    </w:div>
    <w:div w:id="107434693">
      <w:bodyDiv w:val="1"/>
      <w:marLeft w:val="0"/>
      <w:marRight w:val="0"/>
      <w:marTop w:val="0"/>
      <w:marBottom w:val="0"/>
      <w:divBdr>
        <w:top w:val="none" w:sz="0" w:space="0" w:color="auto"/>
        <w:left w:val="none" w:sz="0" w:space="0" w:color="auto"/>
        <w:bottom w:val="none" w:sz="0" w:space="0" w:color="auto"/>
        <w:right w:val="none" w:sz="0" w:space="0" w:color="auto"/>
      </w:divBdr>
    </w:div>
    <w:div w:id="107623304">
      <w:bodyDiv w:val="1"/>
      <w:marLeft w:val="0"/>
      <w:marRight w:val="0"/>
      <w:marTop w:val="0"/>
      <w:marBottom w:val="0"/>
      <w:divBdr>
        <w:top w:val="none" w:sz="0" w:space="0" w:color="auto"/>
        <w:left w:val="none" w:sz="0" w:space="0" w:color="auto"/>
        <w:bottom w:val="none" w:sz="0" w:space="0" w:color="auto"/>
        <w:right w:val="none" w:sz="0" w:space="0" w:color="auto"/>
      </w:divBdr>
    </w:div>
    <w:div w:id="116679010">
      <w:bodyDiv w:val="1"/>
      <w:marLeft w:val="0"/>
      <w:marRight w:val="0"/>
      <w:marTop w:val="0"/>
      <w:marBottom w:val="0"/>
      <w:divBdr>
        <w:top w:val="none" w:sz="0" w:space="0" w:color="auto"/>
        <w:left w:val="none" w:sz="0" w:space="0" w:color="auto"/>
        <w:bottom w:val="none" w:sz="0" w:space="0" w:color="auto"/>
        <w:right w:val="none" w:sz="0" w:space="0" w:color="auto"/>
      </w:divBdr>
    </w:div>
    <w:div w:id="116948859">
      <w:bodyDiv w:val="1"/>
      <w:marLeft w:val="0"/>
      <w:marRight w:val="0"/>
      <w:marTop w:val="0"/>
      <w:marBottom w:val="0"/>
      <w:divBdr>
        <w:top w:val="none" w:sz="0" w:space="0" w:color="auto"/>
        <w:left w:val="none" w:sz="0" w:space="0" w:color="auto"/>
        <w:bottom w:val="none" w:sz="0" w:space="0" w:color="auto"/>
        <w:right w:val="none" w:sz="0" w:space="0" w:color="auto"/>
      </w:divBdr>
    </w:div>
    <w:div w:id="127675274">
      <w:bodyDiv w:val="1"/>
      <w:marLeft w:val="0"/>
      <w:marRight w:val="0"/>
      <w:marTop w:val="0"/>
      <w:marBottom w:val="0"/>
      <w:divBdr>
        <w:top w:val="none" w:sz="0" w:space="0" w:color="auto"/>
        <w:left w:val="none" w:sz="0" w:space="0" w:color="auto"/>
        <w:bottom w:val="none" w:sz="0" w:space="0" w:color="auto"/>
        <w:right w:val="none" w:sz="0" w:space="0" w:color="auto"/>
      </w:divBdr>
    </w:div>
    <w:div w:id="131752302">
      <w:bodyDiv w:val="1"/>
      <w:marLeft w:val="0"/>
      <w:marRight w:val="0"/>
      <w:marTop w:val="0"/>
      <w:marBottom w:val="0"/>
      <w:divBdr>
        <w:top w:val="none" w:sz="0" w:space="0" w:color="auto"/>
        <w:left w:val="none" w:sz="0" w:space="0" w:color="auto"/>
        <w:bottom w:val="none" w:sz="0" w:space="0" w:color="auto"/>
        <w:right w:val="none" w:sz="0" w:space="0" w:color="auto"/>
      </w:divBdr>
    </w:div>
    <w:div w:id="132216868">
      <w:bodyDiv w:val="1"/>
      <w:marLeft w:val="0"/>
      <w:marRight w:val="0"/>
      <w:marTop w:val="0"/>
      <w:marBottom w:val="0"/>
      <w:divBdr>
        <w:top w:val="none" w:sz="0" w:space="0" w:color="auto"/>
        <w:left w:val="none" w:sz="0" w:space="0" w:color="auto"/>
        <w:bottom w:val="none" w:sz="0" w:space="0" w:color="auto"/>
        <w:right w:val="none" w:sz="0" w:space="0" w:color="auto"/>
      </w:divBdr>
    </w:div>
    <w:div w:id="136381045">
      <w:bodyDiv w:val="1"/>
      <w:marLeft w:val="0"/>
      <w:marRight w:val="0"/>
      <w:marTop w:val="0"/>
      <w:marBottom w:val="0"/>
      <w:divBdr>
        <w:top w:val="none" w:sz="0" w:space="0" w:color="auto"/>
        <w:left w:val="none" w:sz="0" w:space="0" w:color="auto"/>
        <w:bottom w:val="none" w:sz="0" w:space="0" w:color="auto"/>
        <w:right w:val="none" w:sz="0" w:space="0" w:color="auto"/>
      </w:divBdr>
    </w:div>
    <w:div w:id="161238219">
      <w:bodyDiv w:val="1"/>
      <w:marLeft w:val="0"/>
      <w:marRight w:val="0"/>
      <w:marTop w:val="0"/>
      <w:marBottom w:val="0"/>
      <w:divBdr>
        <w:top w:val="none" w:sz="0" w:space="0" w:color="auto"/>
        <w:left w:val="none" w:sz="0" w:space="0" w:color="auto"/>
        <w:bottom w:val="none" w:sz="0" w:space="0" w:color="auto"/>
        <w:right w:val="none" w:sz="0" w:space="0" w:color="auto"/>
      </w:divBdr>
    </w:div>
    <w:div w:id="161506700">
      <w:bodyDiv w:val="1"/>
      <w:marLeft w:val="0"/>
      <w:marRight w:val="0"/>
      <w:marTop w:val="0"/>
      <w:marBottom w:val="0"/>
      <w:divBdr>
        <w:top w:val="none" w:sz="0" w:space="0" w:color="auto"/>
        <w:left w:val="none" w:sz="0" w:space="0" w:color="auto"/>
        <w:bottom w:val="none" w:sz="0" w:space="0" w:color="auto"/>
        <w:right w:val="none" w:sz="0" w:space="0" w:color="auto"/>
      </w:divBdr>
    </w:div>
    <w:div w:id="163932885">
      <w:bodyDiv w:val="1"/>
      <w:marLeft w:val="0"/>
      <w:marRight w:val="0"/>
      <w:marTop w:val="0"/>
      <w:marBottom w:val="0"/>
      <w:divBdr>
        <w:top w:val="none" w:sz="0" w:space="0" w:color="auto"/>
        <w:left w:val="none" w:sz="0" w:space="0" w:color="auto"/>
        <w:bottom w:val="none" w:sz="0" w:space="0" w:color="auto"/>
        <w:right w:val="none" w:sz="0" w:space="0" w:color="auto"/>
      </w:divBdr>
    </w:div>
    <w:div w:id="190337311">
      <w:bodyDiv w:val="1"/>
      <w:marLeft w:val="0"/>
      <w:marRight w:val="0"/>
      <w:marTop w:val="0"/>
      <w:marBottom w:val="0"/>
      <w:divBdr>
        <w:top w:val="none" w:sz="0" w:space="0" w:color="auto"/>
        <w:left w:val="none" w:sz="0" w:space="0" w:color="auto"/>
        <w:bottom w:val="none" w:sz="0" w:space="0" w:color="auto"/>
        <w:right w:val="none" w:sz="0" w:space="0" w:color="auto"/>
      </w:divBdr>
    </w:div>
    <w:div w:id="191964611">
      <w:bodyDiv w:val="1"/>
      <w:marLeft w:val="0"/>
      <w:marRight w:val="0"/>
      <w:marTop w:val="0"/>
      <w:marBottom w:val="0"/>
      <w:divBdr>
        <w:top w:val="none" w:sz="0" w:space="0" w:color="auto"/>
        <w:left w:val="none" w:sz="0" w:space="0" w:color="auto"/>
        <w:bottom w:val="none" w:sz="0" w:space="0" w:color="auto"/>
        <w:right w:val="none" w:sz="0" w:space="0" w:color="auto"/>
      </w:divBdr>
    </w:div>
    <w:div w:id="200213941">
      <w:bodyDiv w:val="1"/>
      <w:marLeft w:val="0"/>
      <w:marRight w:val="0"/>
      <w:marTop w:val="0"/>
      <w:marBottom w:val="0"/>
      <w:divBdr>
        <w:top w:val="none" w:sz="0" w:space="0" w:color="auto"/>
        <w:left w:val="none" w:sz="0" w:space="0" w:color="auto"/>
        <w:bottom w:val="none" w:sz="0" w:space="0" w:color="auto"/>
        <w:right w:val="none" w:sz="0" w:space="0" w:color="auto"/>
      </w:divBdr>
    </w:div>
    <w:div w:id="202403609">
      <w:bodyDiv w:val="1"/>
      <w:marLeft w:val="0"/>
      <w:marRight w:val="0"/>
      <w:marTop w:val="0"/>
      <w:marBottom w:val="0"/>
      <w:divBdr>
        <w:top w:val="none" w:sz="0" w:space="0" w:color="auto"/>
        <w:left w:val="none" w:sz="0" w:space="0" w:color="auto"/>
        <w:bottom w:val="none" w:sz="0" w:space="0" w:color="auto"/>
        <w:right w:val="none" w:sz="0" w:space="0" w:color="auto"/>
      </w:divBdr>
    </w:div>
    <w:div w:id="204876810">
      <w:bodyDiv w:val="1"/>
      <w:marLeft w:val="0"/>
      <w:marRight w:val="0"/>
      <w:marTop w:val="0"/>
      <w:marBottom w:val="0"/>
      <w:divBdr>
        <w:top w:val="none" w:sz="0" w:space="0" w:color="auto"/>
        <w:left w:val="none" w:sz="0" w:space="0" w:color="auto"/>
        <w:bottom w:val="none" w:sz="0" w:space="0" w:color="auto"/>
        <w:right w:val="none" w:sz="0" w:space="0" w:color="auto"/>
      </w:divBdr>
    </w:div>
    <w:div w:id="206841309">
      <w:bodyDiv w:val="1"/>
      <w:marLeft w:val="0"/>
      <w:marRight w:val="0"/>
      <w:marTop w:val="0"/>
      <w:marBottom w:val="0"/>
      <w:divBdr>
        <w:top w:val="none" w:sz="0" w:space="0" w:color="auto"/>
        <w:left w:val="none" w:sz="0" w:space="0" w:color="auto"/>
        <w:bottom w:val="none" w:sz="0" w:space="0" w:color="auto"/>
        <w:right w:val="none" w:sz="0" w:space="0" w:color="auto"/>
      </w:divBdr>
    </w:div>
    <w:div w:id="208613945">
      <w:bodyDiv w:val="1"/>
      <w:marLeft w:val="0"/>
      <w:marRight w:val="0"/>
      <w:marTop w:val="0"/>
      <w:marBottom w:val="0"/>
      <w:divBdr>
        <w:top w:val="none" w:sz="0" w:space="0" w:color="auto"/>
        <w:left w:val="none" w:sz="0" w:space="0" w:color="auto"/>
        <w:bottom w:val="none" w:sz="0" w:space="0" w:color="auto"/>
        <w:right w:val="none" w:sz="0" w:space="0" w:color="auto"/>
      </w:divBdr>
    </w:div>
    <w:div w:id="210774894">
      <w:bodyDiv w:val="1"/>
      <w:marLeft w:val="0"/>
      <w:marRight w:val="0"/>
      <w:marTop w:val="0"/>
      <w:marBottom w:val="0"/>
      <w:divBdr>
        <w:top w:val="none" w:sz="0" w:space="0" w:color="auto"/>
        <w:left w:val="none" w:sz="0" w:space="0" w:color="auto"/>
        <w:bottom w:val="none" w:sz="0" w:space="0" w:color="auto"/>
        <w:right w:val="none" w:sz="0" w:space="0" w:color="auto"/>
      </w:divBdr>
    </w:div>
    <w:div w:id="214320391">
      <w:bodyDiv w:val="1"/>
      <w:marLeft w:val="0"/>
      <w:marRight w:val="0"/>
      <w:marTop w:val="0"/>
      <w:marBottom w:val="0"/>
      <w:divBdr>
        <w:top w:val="none" w:sz="0" w:space="0" w:color="auto"/>
        <w:left w:val="none" w:sz="0" w:space="0" w:color="auto"/>
        <w:bottom w:val="none" w:sz="0" w:space="0" w:color="auto"/>
        <w:right w:val="none" w:sz="0" w:space="0" w:color="auto"/>
      </w:divBdr>
    </w:div>
    <w:div w:id="221137369">
      <w:bodyDiv w:val="1"/>
      <w:marLeft w:val="0"/>
      <w:marRight w:val="0"/>
      <w:marTop w:val="0"/>
      <w:marBottom w:val="0"/>
      <w:divBdr>
        <w:top w:val="none" w:sz="0" w:space="0" w:color="auto"/>
        <w:left w:val="none" w:sz="0" w:space="0" w:color="auto"/>
        <w:bottom w:val="none" w:sz="0" w:space="0" w:color="auto"/>
        <w:right w:val="none" w:sz="0" w:space="0" w:color="auto"/>
      </w:divBdr>
    </w:div>
    <w:div w:id="230696224">
      <w:bodyDiv w:val="1"/>
      <w:marLeft w:val="0"/>
      <w:marRight w:val="0"/>
      <w:marTop w:val="0"/>
      <w:marBottom w:val="0"/>
      <w:divBdr>
        <w:top w:val="none" w:sz="0" w:space="0" w:color="auto"/>
        <w:left w:val="none" w:sz="0" w:space="0" w:color="auto"/>
        <w:bottom w:val="none" w:sz="0" w:space="0" w:color="auto"/>
        <w:right w:val="none" w:sz="0" w:space="0" w:color="auto"/>
      </w:divBdr>
    </w:div>
    <w:div w:id="238297469">
      <w:bodyDiv w:val="1"/>
      <w:marLeft w:val="0"/>
      <w:marRight w:val="0"/>
      <w:marTop w:val="0"/>
      <w:marBottom w:val="0"/>
      <w:divBdr>
        <w:top w:val="none" w:sz="0" w:space="0" w:color="auto"/>
        <w:left w:val="none" w:sz="0" w:space="0" w:color="auto"/>
        <w:bottom w:val="none" w:sz="0" w:space="0" w:color="auto"/>
        <w:right w:val="none" w:sz="0" w:space="0" w:color="auto"/>
      </w:divBdr>
    </w:div>
    <w:div w:id="238948692">
      <w:bodyDiv w:val="1"/>
      <w:marLeft w:val="0"/>
      <w:marRight w:val="0"/>
      <w:marTop w:val="0"/>
      <w:marBottom w:val="0"/>
      <w:divBdr>
        <w:top w:val="none" w:sz="0" w:space="0" w:color="auto"/>
        <w:left w:val="none" w:sz="0" w:space="0" w:color="auto"/>
        <w:bottom w:val="none" w:sz="0" w:space="0" w:color="auto"/>
        <w:right w:val="none" w:sz="0" w:space="0" w:color="auto"/>
      </w:divBdr>
    </w:div>
    <w:div w:id="248730979">
      <w:bodyDiv w:val="1"/>
      <w:marLeft w:val="0"/>
      <w:marRight w:val="0"/>
      <w:marTop w:val="0"/>
      <w:marBottom w:val="0"/>
      <w:divBdr>
        <w:top w:val="none" w:sz="0" w:space="0" w:color="auto"/>
        <w:left w:val="none" w:sz="0" w:space="0" w:color="auto"/>
        <w:bottom w:val="none" w:sz="0" w:space="0" w:color="auto"/>
        <w:right w:val="none" w:sz="0" w:space="0" w:color="auto"/>
      </w:divBdr>
    </w:div>
    <w:div w:id="253709291">
      <w:bodyDiv w:val="1"/>
      <w:marLeft w:val="0"/>
      <w:marRight w:val="0"/>
      <w:marTop w:val="0"/>
      <w:marBottom w:val="0"/>
      <w:divBdr>
        <w:top w:val="none" w:sz="0" w:space="0" w:color="auto"/>
        <w:left w:val="none" w:sz="0" w:space="0" w:color="auto"/>
        <w:bottom w:val="none" w:sz="0" w:space="0" w:color="auto"/>
        <w:right w:val="none" w:sz="0" w:space="0" w:color="auto"/>
      </w:divBdr>
    </w:div>
    <w:div w:id="259677499">
      <w:bodyDiv w:val="1"/>
      <w:marLeft w:val="0"/>
      <w:marRight w:val="0"/>
      <w:marTop w:val="0"/>
      <w:marBottom w:val="0"/>
      <w:divBdr>
        <w:top w:val="none" w:sz="0" w:space="0" w:color="auto"/>
        <w:left w:val="none" w:sz="0" w:space="0" w:color="auto"/>
        <w:bottom w:val="none" w:sz="0" w:space="0" w:color="auto"/>
        <w:right w:val="none" w:sz="0" w:space="0" w:color="auto"/>
      </w:divBdr>
    </w:div>
    <w:div w:id="265505386">
      <w:bodyDiv w:val="1"/>
      <w:marLeft w:val="0"/>
      <w:marRight w:val="0"/>
      <w:marTop w:val="0"/>
      <w:marBottom w:val="0"/>
      <w:divBdr>
        <w:top w:val="none" w:sz="0" w:space="0" w:color="auto"/>
        <w:left w:val="none" w:sz="0" w:space="0" w:color="auto"/>
        <w:bottom w:val="none" w:sz="0" w:space="0" w:color="auto"/>
        <w:right w:val="none" w:sz="0" w:space="0" w:color="auto"/>
      </w:divBdr>
    </w:div>
    <w:div w:id="275256083">
      <w:bodyDiv w:val="1"/>
      <w:marLeft w:val="0"/>
      <w:marRight w:val="0"/>
      <w:marTop w:val="0"/>
      <w:marBottom w:val="0"/>
      <w:divBdr>
        <w:top w:val="none" w:sz="0" w:space="0" w:color="auto"/>
        <w:left w:val="none" w:sz="0" w:space="0" w:color="auto"/>
        <w:bottom w:val="none" w:sz="0" w:space="0" w:color="auto"/>
        <w:right w:val="none" w:sz="0" w:space="0" w:color="auto"/>
      </w:divBdr>
    </w:div>
    <w:div w:id="281614749">
      <w:bodyDiv w:val="1"/>
      <w:marLeft w:val="0"/>
      <w:marRight w:val="0"/>
      <w:marTop w:val="0"/>
      <w:marBottom w:val="0"/>
      <w:divBdr>
        <w:top w:val="none" w:sz="0" w:space="0" w:color="auto"/>
        <w:left w:val="none" w:sz="0" w:space="0" w:color="auto"/>
        <w:bottom w:val="none" w:sz="0" w:space="0" w:color="auto"/>
        <w:right w:val="none" w:sz="0" w:space="0" w:color="auto"/>
      </w:divBdr>
    </w:div>
    <w:div w:id="294063862">
      <w:bodyDiv w:val="1"/>
      <w:marLeft w:val="0"/>
      <w:marRight w:val="0"/>
      <w:marTop w:val="0"/>
      <w:marBottom w:val="0"/>
      <w:divBdr>
        <w:top w:val="none" w:sz="0" w:space="0" w:color="auto"/>
        <w:left w:val="none" w:sz="0" w:space="0" w:color="auto"/>
        <w:bottom w:val="none" w:sz="0" w:space="0" w:color="auto"/>
        <w:right w:val="none" w:sz="0" w:space="0" w:color="auto"/>
      </w:divBdr>
    </w:div>
    <w:div w:id="309096906">
      <w:bodyDiv w:val="1"/>
      <w:marLeft w:val="0"/>
      <w:marRight w:val="0"/>
      <w:marTop w:val="0"/>
      <w:marBottom w:val="0"/>
      <w:divBdr>
        <w:top w:val="none" w:sz="0" w:space="0" w:color="auto"/>
        <w:left w:val="none" w:sz="0" w:space="0" w:color="auto"/>
        <w:bottom w:val="none" w:sz="0" w:space="0" w:color="auto"/>
        <w:right w:val="none" w:sz="0" w:space="0" w:color="auto"/>
      </w:divBdr>
    </w:div>
    <w:div w:id="309410905">
      <w:bodyDiv w:val="1"/>
      <w:marLeft w:val="0"/>
      <w:marRight w:val="0"/>
      <w:marTop w:val="0"/>
      <w:marBottom w:val="0"/>
      <w:divBdr>
        <w:top w:val="none" w:sz="0" w:space="0" w:color="auto"/>
        <w:left w:val="none" w:sz="0" w:space="0" w:color="auto"/>
        <w:bottom w:val="none" w:sz="0" w:space="0" w:color="auto"/>
        <w:right w:val="none" w:sz="0" w:space="0" w:color="auto"/>
      </w:divBdr>
    </w:div>
    <w:div w:id="319236287">
      <w:bodyDiv w:val="1"/>
      <w:marLeft w:val="0"/>
      <w:marRight w:val="0"/>
      <w:marTop w:val="0"/>
      <w:marBottom w:val="0"/>
      <w:divBdr>
        <w:top w:val="none" w:sz="0" w:space="0" w:color="auto"/>
        <w:left w:val="none" w:sz="0" w:space="0" w:color="auto"/>
        <w:bottom w:val="none" w:sz="0" w:space="0" w:color="auto"/>
        <w:right w:val="none" w:sz="0" w:space="0" w:color="auto"/>
      </w:divBdr>
    </w:div>
    <w:div w:id="335766252">
      <w:bodyDiv w:val="1"/>
      <w:marLeft w:val="0"/>
      <w:marRight w:val="0"/>
      <w:marTop w:val="0"/>
      <w:marBottom w:val="0"/>
      <w:divBdr>
        <w:top w:val="none" w:sz="0" w:space="0" w:color="auto"/>
        <w:left w:val="none" w:sz="0" w:space="0" w:color="auto"/>
        <w:bottom w:val="none" w:sz="0" w:space="0" w:color="auto"/>
        <w:right w:val="none" w:sz="0" w:space="0" w:color="auto"/>
      </w:divBdr>
    </w:div>
    <w:div w:id="337657402">
      <w:bodyDiv w:val="1"/>
      <w:marLeft w:val="0"/>
      <w:marRight w:val="0"/>
      <w:marTop w:val="0"/>
      <w:marBottom w:val="0"/>
      <w:divBdr>
        <w:top w:val="none" w:sz="0" w:space="0" w:color="auto"/>
        <w:left w:val="none" w:sz="0" w:space="0" w:color="auto"/>
        <w:bottom w:val="none" w:sz="0" w:space="0" w:color="auto"/>
        <w:right w:val="none" w:sz="0" w:space="0" w:color="auto"/>
      </w:divBdr>
    </w:div>
    <w:div w:id="342559760">
      <w:bodyDiv w:val="1"/>
      <w:marLeft w:val="0"/>
      <w:marRight w:val="0"/>
      <w:marTop w:val="0"/>
      <w:marBottom w:val="0"/>
      <w:divBdr>
        <w:top w:val="none" w:sz="0" w:space="0" w:color="auto"/>
        <w:left w:val="none" w:sz="0" w:space="0" w:color="auto"/>
        <w:bottom w:val="none" w:sz="0" w:space="0" w:color="auto"/>
        <w:right w:val="none" w:sz="0" w:space="0" w:color="auto"/>
      </w:divBdr>
    </w:div>
    <w:div w:id="345714401">
      <w:bodyDiv w:val="1"/>
      <w:marLeft w:val="0"/>
      <w:marRight w:val="0"/>
      <w:marTop w:val="0"/>
      <w:marBottom w:val="0"/>
      <w:divBdr>
        <w:top w:val="none" w:sz="0" w:space="0" w:color="auto"/>
        <w:left w:val="none" w:sz="0" w:space="0" w:color="auto"/>
        <w:bottom w:val="none" w:sz="0" w:space="0" w:color="auto"/>
        <w:right w:val="none" w:sz="0" w:space="0" w:color="auto"/>
      </w:divBdr>
    </w:div>
    <w:div w:id="363675421">
      <w:bodyDiv w:val="1"/>
      <w:marLeft w:val="0"/>
      <w:marRight w:val="0"/>
      <w:marTop w:val="0"/>
      <w:marBottom w:val="0"/>
      <w:divBdr>
        <w:top w:val="none" w:sz="0" w:space="0" w:color="auto"/>
        <w:left w:val="none" w:sz="0" w:space="0" w:color="auto"/>
        <w:bottom w:val="none" w:sz="0" w:space="0" w:color="auto"/>
        <w:right w:val="none" w:sz="0" w:space="0" w:color="auto"/>
      </w:divBdr>
    </w:div>
    <w:div w:id="371424788">
      <w:bodyDiv w:val="1"/>
      <w:marLeft w:val="0"/>
      <w:marRight w:val="0"/>
      <w:marTop w:val="0"/>
      <w:marBottom w:val="0"/>
      <w:divBdr>
        <w:top w:val="none" w:sz="0" w:space="0" w:color="auto"/>
        <w:left w:val="none" w:sz="0" w:space="0" w:color="auto"/>
        <w:bottom w:val="none" w:sz="0" w:space="0" w:color="auto"/>
        <w:right w:val="none" w:sz="0" w:space="0" w:color="auto"/>
      </w:divBdr>
    </w:div>
    <w:div w:id="385104147">
      <w:bodyDiv w:val="1"/>
      <w:marLeft w:val="0"/>
      <w:marRight w:val="0"/>
      <w:marTop w:val="0"/>
      <w:marBottom w:val="0"/>
      <w:divBdr>
        <w:top w:val="none" w:sz="0" w:space="0" w:color="auto"/>
        <w:left w:val="none" w:sz="0" w:space="0" w:color="auto"/>
        <w:bottom w:val="none" w:sz="0" w:space="0" w:color="auto"/>
        <w:right w:val="none" w:sz="0" w:space="0" w:color="auto"/>
      </w:divBdr>
    </w:div>
    <w:div w:id="387188480">
      <w:bodyDiv w:val="1"/>
      <w:marLeft w:val="0"/>
      <w:marRight w:val="0"/>
      <w:marTop w:val="0"/>
      <w:marBottom w:val="0"/>
      <w:divBdr>
        <w:top w:val="none" w:sz="0" w:space="0" w:color="auto"/>
        <w:left w:val="none" w:sz="0" w:space="0" w:color="auto"/>
        <w:bottom w:val="none" w:sz="0" w:space="0" w:color="auto"/>
        <w:right w:val="none" w:sz="0" w:space="0" w:color="auto"/>
      </w:divBdr>
    </w:div>
    <w:div w:id="388649103">
      <w:bodyDiv w:val="1"/>
      <w:marLeft w:val="0"/>
      <w:marRight w:val="0"/>
      <w:marTop w:val="0"/>
      <w:marBottom w:val="0"/>
      <w:divBdr>
        <w:top w:val="none" w:sz="0" w:space="0" w:color="auto"/>
        <w:left w:val="none" w:sz="0" w:space="0" w:color="auto"/>
        <w:bottom w:val="none" w:sz="0" w:space="0" w:color="auto"/>
        <w:right w:val="none" w:sz="0" w:space="0" w:color="auto"/>
      </w:divBdr>
    </w:div>
    <w:div w:id="391000898">
      <w:bodyDiv w:val="1"/>
      <w:marLeft w:val="0"/>
      <w:marRight w:val="0"/>
      <w:marTop w:val="0"/>
      <w:marBottom w:val="0"/>
      <w:divBdr>
        <w:top w:val="none" w:sz="0" w:space="0" w:color="auto"/>
        <w:left w:val="none" w:sz="0" w:space="0" w:color="auto"/>
        <w:bottom w:val="none" w:sz="0" w:space="0" w:color="auto"/>
        <w:right w:val="none" w:sz="0" w:space="0" w:color="auto"/>
      </w:divBdr>
    </w:div>
    <w:div w:id="394939146">
      <w:bodyDiv w:val="1"/>
      <w:marLeft w:val="0"/>
      <w:marRight w:val="0"/>
      <w:marTop w:val="0"/>
      <w:marBottom w:val="0"/>
      <w:divBdr>
        <w:top w:val="none" w:sz="0" w:space="0" w:color="auto"/>
        <w:left w:val="none" w:sz="0" w:space="0" w:color="auto"/>
        <w:bottom w:val="none" w:sz="0" w:space="0" w:color="auto"/>
        <w:right w:val="none" w:sz="0" w:space="0" w:color="auto"/>
      </w:divBdr>
    </w:div>
    <w:div w:id="400174489">
      <w:bodyDiv w:val="1"/>
      <w:marLeft w:val="0"/>
      <w:marRight w:val="0"/>
      <w:marTop w:val="0"/>
      <w:marBottom w:val="0"/>
      <w:divBdr>
        <w:top w:val="none" w:sz="0" w:space="0" w:color="auto"/>
        <w:left w:val="none" w:sz="0" w:space="0" w:color="auto"/>
        <w:bottom w:val="none" w:sz="0" w:space="0" w:color="auto"/>
        <w:right w:val="none" w:sz="0" w:space="0" w:color="auto"/>
      </w:divBdr>
    </w:div>
    <w:div w:id="419496799">
      <w:bodyDiv w:val="1"/>
      <w:marLeft w:val="0"/>
      <w:marRight w:val="0"/>
      <w:marTop w:val="0"/>
      <w:marBottom w:val="0"/>
      <w:divBdr>
        <w:top w:val="none" w:sz="0" w:space="0" w:color="auto"/>
        <w:left w:val="none" w:sz="0" w:space="0" w:color="auto"/>
        <w:bottom w:val="none" w:sz="0" w:space="0" w:color="auto"/>
        <w:right w:val="none" w:sz="0" w:space="0" w:color="auto"/>
      </w:divBdr>
    </w:div>
    <w:div w:id="419914388">
      <w:bodyDiv w:val="1"/>
      <w:marLeft w:val="0"/>
      <w:marRight w:val="0"/>
      <w:marTop w:val="0"/>
      <w:marBottom w:val="0"/>
      <w:divBdr>
        <w:top w:val="none" w:sz="0" w:space="0" w:color="auto"/>
        <w:left w:val="none" w:sz="0" w:space="0" w:color="auto"/>
        <w:bottom w:val="none" w:sz="0" w:space="0" w:color="auto"/>
        <w:right w:val="none" w:sz="0" w:space="0" w:color="auto"/>
      </w:divBdr>
    </w:div>
    <w:div w:id="420179201">
      <w:bodyDiv w:val="1"/>
      <w:marLeft w:val="0"/>
      <w:marRight w:val="0"/>
      <w:marTop w:val="0"/>
      <w:marBottom w:val="0"/>
      <w:divBdr>
        <w:top w:val="none" w:sz="0" w:space="0" w:color="auto"/>
        <w:left w:val="none" w:sz="0" w:space="0" w:color="auto"/>
        <w:bottom w:val="none" w:sz="0" w:space="0" w:color="auto"/>
        <w:right w:val="none" w:sz="0" w:space="0" w:color="auto"/>
      </w:divBdr>
    </w:div>
    <w:div w:id="420444714">
      <w:bodyDiv w:val="1"/>
      <w:marLeft w:val="0"/>
      <w:marRight w:val="0"/>
      <w:marTop w:val="0"/>
      <w:marBottom w:val="0"/>
      <w:divBdr>
        <w:top w:val="none" w:sz="0" w:space="0" w:color="auto"/>
        <w:left w:val="none" w:sz="0" w:space="0" w:color="auto"/>
        <w:bottom w:val="none" w:sz="0" w:space="0" w:color="auto"/>
        <w:right w:val="none" w:sz="0" w:space="0" w:color="auto"/>
      </w:divBdr>
    </w:div>
    <w:div w:id="426000497">
      <w:bodyDiv w:val="1"/>
      <w:marLeft w:val="0"/>
      <w:marRight w:val="0"/>
      <w:marTop w:val="0"/>
      <w:marBottom w:val="0"/>
      <w:divBdr>
        <w:top w:val="none" w:sz="0" w:space="0" w:color="auto"/>
        <w:left w:val="none" w:sz="0" w:space="0" w:color="auto"/>
        <w:bottom w:val="none" w:sz="0" w:space="0" w:color="auto"/>
        <w:right w:val="none" w:sz="0" w:space="0" w:color="auto"/>
      </w:divBdr>
    </w:div>
    <w:div w:id="428623092">
      <w:bodyDiv w:val="1"/>
      <w:marLeft w:val="0"/>
      <w:marRight w:val="0"/>
      <w:marTop w:val="0"/>
      <w:marBottom w:val="0"/>
      <w:divBdr>
        <w:top w:val="none" w:sz="0" w:space="0" w:color="auto"/>
        <w:left w:val="none" w:sz="0" w:space="0" w:color="auto"/>
        <w:bottom w:val="none" w:sz="0" w:space="0" w:color="auto"/>
        <w:right w:val="none" w:sz="0" w:space="0" w:color="auto"/>
      </w:divBdr>
    </w:div>
    <w:div w:id="430395881">
      <w:bodyDiv w:val="1"/>
      <w:marLeft w:val="0"/>
      <w:marRight w:val="0"/>
      <w:marTop w:val="0"/>
      <w:marBottom w:val="0"/>
      <w:divBdr>
        <w:top w:val="none" w:sz="0" w:space="0" w:color="auto"/>
        <w:left w:val="none" w:sz="0" w:space="0" w:color="auto"/>
        <w:bottom w:val="none" w:sz="0" w:space="0" w:color="auto"/>
        <w:right w:val="none" w:sz="0" w:space="0" w:color="auto"/>
      </w:divBdr>
    </w:div>
    <w:div w:id="441346089">
      <w:bodyDiv w:val="1"/>
      <w:marLeft w:val="0"/>
      <w:marRight w:val="0"/>
      <w:marTop w:val="0"/>
      <w:marBottom w:val="0"/>
      <w:divBdr>
        <w:top w:val="none" w:sz="0" w:space="0" w:color="auto"/>
        <w:left w:val="none" w:sz="0" w:space="0" w:color="auto"/>
        <w:bottom w:val="none" w:sz="0" w:space="0" w:color="auto"/>
        <w:right w:val="none" w:sz="0" w:space="0" w:color="auto"/>
      </w:divBdr>
    </w:div>
    <w:div w:id="448403806">
      <w:bodyDiv w:val="1"/>
      <w:marLeft w:val="0"/>
      <w:marRight w:val="0"/>
      <w:marTop w:val="0"/>
      <w:marBottom w:val="0"/>
      <w:divBdr>
        <w:top w:val="none" w:sz="0" w:space="0" w:color="auto"/>
        <w:left w:val="none" w:sz="0" w:space="0" w:color="auto"/>
        <w:bottom w:val="none" w:sz="0" w:space="0" w:color="auto"/>
        <w:right w:val="none" w:sz="0" w:space="0" w:color="auto"/>
      </w:divBdr>
    </w:div>
    <w:div w:id="459228019">
      <w:bodyDiv w:val="1"/>
      <w:marLeft w:val="0"/>
      <w:marRight w:val="0"/>
      <w:marTop w:val="0"/>
      <w:marBottom w:val="0"/>
      <w:divBdr>
        <w:top w:val="none" w:sz="0" w:space="0" w:color="auto"/>
        <w:left w:val="none" w:sz="0" w:space="0" w:color="auto"/>
        <w:bottom w:val="none" w:sz="0" w:space="0" w:color="auto"/>
        <w:right w:val="none" w:sz="0" w:space="0" w:color="auto"/>
      </w:divBdr>
    </w:div>
    <w:div w:id="464743060">
      <w:bodyDiv w:val="1"/>
      <w:marLeft w:val="0"/>
      <w:marRight w:val="0"/>
      <w:marTop w:val="0"/>
      <w:marBottom w:val="0"/>
      <w:divBdr>
        <w:top w:val="none" w:sz="0" w:space="0" w:color="auto"/>
        <w:left w:val="none" w:sz="0" w:space="0" w:color="auto"/>
        <w:bottom w:val="none" w:sz="0" w:space="0" w:color="auto"/>
        <w:right w:val="none" w:sz="0" w:space="0" w:color="auto"/>
      </w:divBdr>
    </w:div>
    <w:div w:id="473838716">
      <w:bodyDiv w:val="1"/>
      <w:marLeft w:val="0"/>
      <w:marRight w:val="0"/>
      <w:marTop w:val="0"/>
      <w:marBottom w:val="0"/>
      <w:divBdr>
        <w:top w:val="none" w:sz="0" w:space="0" w:color="auto"/>
        <w:left w:val="none" w:sz="0" w:space="0" w:color="auto"/>
        <w:bottom w:val="none" w:sz="0" w:space="0" w:color="auto"/>
        <w:right w:val="none" w:sz="0" w:space="0" w:color="auto"/>
      </w:divBdr>
    </w:div>
    <w:div w:id="482745204">
      <w:bodyDiv w:val="1"/>
      <w:marLeft w:val="0"/>
      <w:marRight w:val="0"/>
      <w:marTop w:val="0"/>
      <w:marBottom w:val="0"/>
      <w:divBdr>
        <w:top w:val="none" w:sz="0" w:space="0" w:color="auto"/>
        <w:left w:val="none" w:sz="0" w:space="0" w:color="auto"/>
        <w:bottom w:val="none" w:sz="0" w:space="0" w:color="auto"/>
        <w:right w:val="none" w:sz="0" w:space="0" w:color="auto"/>
      </w:divBdr>
    </w:div>
    <w:div w:id="488713606">
      <w:bodyDiv w:val="1"/>
      <w:marLeft w:val="0"/>
      <w:marRight w:val="0"/>
      <w:marTop w:val="0"/>
      <w:marBottom w:val="0"/>
      <w:divBdr>
        <w:top w:val="none" w:sz="0" w:space="0" w:color="auto"/>
        <w:left w:val="none" w:sz="0" w:space="0" w:color="auto"/>
        <w:bottom w:val="none" w:sz="0" w:space="0" w:color="auto"/>
        <w:right w:val="none" w:sz="0" w:space="0" w:color="auto"/>
      </w:divBdr>
    </w:div>
    <w:div w:id="499124195">
      <w:bodyDiv w:val="1"/>
      <w:marLeft w:val="0"/>
      <w:marRight w:val="0"/>
      <w:marTop w:val="0"/>
      <w:marBottom w:val="0"/>
      <w:divBdr>
        <w:top w:val="none" w:sz="0" w:space="0" w:color="auto"/>
        <w:left w:val="none" w:sz="0" w:space="0" w:color="auto"/>
        <w:bottom w:val="none" w:sz="0" w:space="0" w:color="auto"/>
        <w:right w:val="none" w:sz="0" w:space="0" w:color="auto"/>
      </w:divBdr>
    </w:div>
    <w:div w:id="503054348">
      <w:bodyDiv w:val="1"/>
      <w:marLeft w:val="0"/>
      <w:marRight w:val="0"/>
      <w:marTop w:val="0"/>
      <w:marBottom w:val="0"/>
      <w:divBdr>
        <w:top w:val="none" w:sz="0" w:space="0" w:color="auto"/>
        <w:left w:val="none" w:sz="0" w:space="0" w:color="auto"/>
        <w:bottom w:val="none" w:sz="0" w:space="0" w:color="auto"/>
        <w:right w:val="none" w:sz="0" w:space="0" w:color="auto"/>
      </w:divBdr>
    </w:div>
    <w:div w:id="504637879">
      <w:bodyDiv w:val="1"/>
      <w:marLeft w:val="0"/>
      <w:marRight w:val="0"/>
      <w:marTop w:val="0"/>
      <w:marBottom w:val="0"/>
      <w:divBdr>
        <w:top w:val="none" w:sz="0" w:space="0" w:color="auto"/>
        <w:left w:val="none" w:sz="0" w:space="0" w:color="auto"/>
        <w:bottom w:val="none" w:sz="0" w:space="0" w:color="auto"/>
        <w:right w:val="none" w:sz="0" w:space="0" w:color="auto"/>
      </w:divBdr>
    </w:div>
    <w:div w:id="517349008">
      <w:bodyDiv w:val="1"/>
      <w:marLeft w:val="0"/>
      <w:marRight w:val="0"/>
      <w:marTop w:val="0"/>
      <w:marBottom w:val="0"/>
      <w:divBdr>
        <w:top w:val="none" w:sz="0" w:space="0" w:color="auto"/>
        <w:left w:val="none" w:sz="0" w:space="0" w:color="auto"/>
        <w:bottom w:val="none" w:sz="0" w:space="0" w:color="auto"/>
        <w:right w:val="none" w:sz="0" w:space="0" w:color="auto"/>
      </w:divBdr>
    </w:div>
    <w:div w:id="519587148">
      <w:bodyDiv w:val="1"/>
      <w:marLeft w:val="0"/>
      <w:marRight w:val="0"/>
      <w:marTop w:val="0"/>
      <w:marBottom w:val="0"/>
      <w:divBdr>
        <w:top w:val="none" w:sz="0" w:space="0" w:color="auto"/>
        <w:left w:val="none" w:sz="0" w:space="0" w:color="auto"/>
        <w:bottom w:val="none" w:sz="0" w:space="0" w:color="auto"/>
        <w:right w:val="none" w:sz="0" w:space="0" w:color="auto"/>
      </w:divBdr>
    </w:div>
    <w:div w:id="526598294">
      <w:bodyDiv w:val="1"/>
      <w:marLeft w:val="0"/>
      <w:marRight w:val="0"/>
      <w:marTop w:val="0"/>
      <w:marBottom w:val="0"/>
      <w:divBdr>
        <w:top w:val="none" w:sz="0" w:space="0" w:color="auto"/>
        <w:left w:val="none" w:sz="0" w:space="0" w:color="auto"/>
        <w:bottom w:val="none" w:sz="0" w:space="0" w:color="auto"/>
        <w:right w:val="none" w:sz="0" w:space="0" w:color="auto"/>
      </w:divBdr>
    </w:div>
    <w:div w:id="551308007">
      <w:bodyDiv w:val="1"/>
      <w:marLeft w:val="0"/>
      <w:marRight w:val="0"/>
      <w:marTop w:val="0"/>
      <w:marBottom w:val="0"/>
      <w:divBdr>
        <w:top w:val="none" w:sz="0" w:space="0" w:color="auto"/>
        <w:left w:val="none" w:sz="0" w:space="0" w:color="auto"/>
        <w:bottom w:val="none" w:sz="0" w:space="0" w:color="auto"/>
        <w:right w:val="none" w:sz="0" w:space="0" w:color="auto"/>
      </w:divBdr>
    </w:div>
    <w:div w:id="555243134">
      <w:bodyDiv w:val="1"/>
      <w:marLeft w:val="0"/>
      <w:marRight w:val="0"/>
      <w:marTop w:val="0"/>
      <w:marBottom w:val="0"/>
      <w:divBdr>
        <w:top w:val="none" w:sz="0" w:space="0" w:color="auto"/>
        <w:left w:val="none" w:sz="0" w:space="0" w:color="auto"/>
        <w:bottom w:val="none" w:sz="0" w:space="0" w:color="auto"/>
        <w:right w:val="none" w:sz="0" w:space="0" w:color="auto"/>
      </w:divBdr>
    </w:div>
    <w:div w:id="560166974">
      <w:bodyDiv w:val="1"/>
      <w:marLeft w:val="0"/>
      <w:marRight w:val="0"/>
      <w:marTop w:val="0"/>
      <w:marBottom w:val="0"/>
      <w:divBdr>
        <w:top w:val="none" w:sz="0" w:space="0" w:color="auto"/>
        <w:left w:val="none" w:sz="0" w:space="0" w:color="auto"/>
        <w:bottom w:val="none" w:sz="0" w:space="0" w:color="auto"/>
        <w:right w:val="none" w:sz="0" w:space="0" w:color="auto"/>
      </w:divBdr>
    </w:div>
    <w:div w:id="562840099">
      <w:bodyDiv w:val="1"/>
      <w:marLeft w:val="0"/>
      <w:marRight w:val="0"/>
      <w:marTop w:val="0"/>
      <w:marBottom w:val="0"/>
      <w:divBdr>
        <w:top w:val="none" w:sz="0" w:space="0" w:color="auto"/>
        <w:left w:val="none" w:sz="0" w:space="0" w:color="auto"/>
        <w:bottom w:val="none" w:sz="0" w:space="0" w:color="auto"/>
        <w:right w:val="none" w:sz="0" w:space="0" w:color="auto"/>
      </w:divBdr>
    </w:div>
    <w:div w:id="577253426">
      <w:bodyDiv w:val="1"/>
      <w:marLeft w:val="0"/>
      <w:marRight w:val="0"/>
      <w:marTop w:val="0"/>
      <w:marBottom w:val="0"/>
      <w:divBdr>
        <w:top w:val="none" w:sz="0" w:space="0" w:color="auto"/>
        <w:left w:val="none" w:sz="0" w:space="0" w:color="auto"/>
        <w:bottom w:val="none" w:sz="0" w:space="0" w:color="auto"/>
        <w:right w:val="none" w:sz="0" w:space="0" w:color="auto"/>
      </w:divBdr>
    </w:div>
    <w:div w:id="580331132">
      <w:bodyDiv w:val="1"/>
      <w:marLeft w:val="0"/>
      <w:marRight w:val="0"/>
      <w:marTop w:val="0"/>
      <w:marBottom w:val="0"/>
      <w:divBdr>
        <w:top w:val="none" w:sz="0" w:space="0" w:color="auto"/>
        <w:left w:val="none" w:sz="0" w:space="0" w:color="auto"/>
        <w:bottom w:val="none" w:sz="0" w:space="0" w:color="auto"/>
        <w:right w:val="none" w:sz="0" w:space="0" w:color="auto"/>
      </w:divBdr>
    </w:div>
    <w:div w:id="585727373">
      <w:bodyDiv w:val="1"/>
      <w:marLeft w:val="0"/>
      <w:marRight w:val="0"/>
      <w:marTop w:val="0"/>
      <w:marBottom w:val="0"/>
      <w:divBdr>
        <w:top w:val="none" w:sz="0" w:space="0" w:color="auto"/>
        <w:left w:val="none" w:sz="0" w:space="0" w:color="auto"/>
        <w:bottom w:val="none" w:sz="0" w:space="0" w:color="auto"/>
        <w:right w:val="none" w:sz="0" w:space="0" w:color="auto"/>
      </w:divBdr>
    </w:div>
    <w:div w:id="585924013">
      <w:bodyDiv w:val="1"/>
      <w:marLeft w:val="0"/>
      <w:marRight w:val="0"/>
      <w:marTop w:val="0"/>
      <w:marBottom w:val="0"/>
      <w:divBdr>
        <w:top w:val="none" w:sz="0" w:space="0" w:color="auto"/>
        <w:left w:val="none" w:sz="0" w:space="0" w:color="auto"/>
        <w:bottom w:val="none" w:sz="0" w:space="0" w:color="auto"/>
        <w:right w:val="none" w:sz="0" w:space="0" w:color="auto"/>
      </w:divBdr>
    </w:div>
    <w:div w:id="600838162">
      <w:bodyDiv w:val="1"/>
      <w:marLeft w:val="0"/>
      <w:marRight w:val="0"/>
      <w:marTop w:val="0"/>
      <w:marBottom w:val="0"/>
      <w:divBdr>
        <w:top w:val="none" w:sz="0" w:space="0" w:color="auto"/>
        <w:left w:val="none" w:sz="0" w:space="0" w:color="auto"/>
        <w:bottom w:val="none" w:sz="0" w:space="0" w:color="auto"/>
        <w:right w:val="none" w:sz="0" w:space="0" w:color="auto"/>
      </w:divBdr>
    </w:div>
    <w:div w:id="606667851">
      <w:bodyDiv w:val="1"/>
      <w:marLeft w:val="0"/>
      <w:marRight w:val="0"/>
      <w:marTop w:val="0"/>
      <w:marBottom w:val="0"/>
      <w:divBdr>
        <w:top w:val="none" w:sz="0" w:space="0" w:color="auto"/>
        <w:left w:val="none" w:sz="0" w:space="0" w:color="auto"/>
        <w:bottom w:val="none" w:sz="0" w:space="0" w:color="auto"/>
        <w:right w:val="none" w:sz="0" w:space="0" w:color="auto"/>
      </w:divBdr>
    </w:div>
    <w:div w:id="607926782">
      <w:bodyDiv w:val="1"/>
      <w:marLeft w:val="0"/>
      <w:marRight w:val="0"/>
      <w:marTop w:val="0"/>
      <w:marBottom w:val="0"/>
      <w:divBdr>
        <w:top w:val="none" w:sz="0" w:space="0" w:color="auto"/>
        <w:left w:val="none" w:sz="0" w:space="0" w:color="auto"/>
        <w:bottom w:val="none" w:sz="0" w:space="0" w:color="auto"/>
        <w:right w:val="none" w:sz="0" w:space="0" w:color="auto"/>
      </w:divBdr>
    </w:div>
    <w:div w:id="608389047">
      <w:bodyDiv w:val="1"/>
      <w:marLeft w:val="0"/>
      <w:marRight w:val="0"/>
      <w:marTop w:val="0"/>
      <w:marBottom w:val="0"/>
      <w:divBdr>
        <w:top w:val="none" w:sz="0" w:space="0" w:color="auto"/>
        <w:left w:val="none" w:sz="0" w:space="0" w:color="auto"/>
        <w:bottom w:val="none" w:sz="0" w:space="0" w:color="auto"/>
        <w:right w:val="none" w:sz="0" w:space="0" w:color="auto"/>
      </w:divBdr>
    </w:div>
    <w:div w:id="616715969">
      <w:bodyDiv w:val="1"/>
      <w:marLeft w:val="0"/>
      <w:marRight w:val="0"/>
      <w:marTop w:val="0"/>
      <w:marBottom w:val="0"/>
      <w:divBdr>
        <w:top w:val="none" w:sz="0" w:space="0" w:color="auto"/>
        <w:left w:val="none" w:sz="0" w:space="0" w:color="auto"/>
        <w:bottom w:val="none" w:sz="0" w:space="0" w:color="auto"/>
        <w:right w:val="none" w:sz="0" w:space="0" w:color="auto"/>
      </w:divBdr>
    </w:div>
    <w:div w:id="622004317">
      <w:bodyDiv w:val="1"/>
      <w:marLeft w:val="0"/>
      <w:marRight w:val="0"/>
      <w:marTop w:val="0"/>
      <w:marBottom w:val="0"/>
      <w:divBdr>
        <w:top w:val="none" w:sz="0" w:space="0" w:color="auto"/>
        <w:left w:val="none" w:sz="0" w:space="0" w:color="auto"/>
        <w:bottom w:val="none" w:sz="0" w:space="0" w:color="auto"/>
        <w:right w:val="none" w:sz="0" w:space="0" w:color="auto"/>
      </w:divBdr>
    </w:div>
    <w:div w:id="624895579">
      <w:bodyDiv w:val="1"/>
      <w:marLeft w:val="0"/>
      <w:marRight w:val="0"/>
      <w:marTop w:val="0"/>
      <w:marBottom w:val="0"/>
      <w:divBdr>
        <w:top w:val="none" w:sz="0" w:space="0" w:color="auto"/>
        <w:left w:val="none" w:sz="0" w:space="0" w:color="auto"/>
        <w:bottom w:val="none" w:sz="0" w:space="0" w:color="auto"/>
        <w:right w:val="none" w:sz="0" w:space="0" w:color="auto"/>
      </w:divBdr>
    </w:div>
    <w:div w:id="633171968">
      <w:bodyDiv w:val="1"/>
      <w:marLeft w:val="0"/>
      <w:marRight w:val="0"/>
      <w:marTop w:val="0"/>
      <w:marBottom w:val="0"/>
      <w:divBdr>
        <w:top w:val="none" w:sz="0" w:space="0" w:color="auto"/>
        <w:left w:val="none" w:sz="0" w:space="0" w:color="auto"/>
        <w:bottom w:val="none" w:sz="0" w:space="0" w:color="auto"/>
        <w:right w:val="none" w:sz="0" w:space="0" w:color="auto"/>
      </w:divBdr>
    </w:div>
    <w:div w:id="637413426">
      <w:bodyDiv w:val="1"/>
      <w:marLeft w:val="0"/>
      <w:marRight w:val="0"/>
      <w:marTop w:val="0"/>
      <w:marBottom w:val="0"/>
      <w:divBdr>
        <w:top w:val="none" w:sz="0" w:space="0" w:color="auto"/>
        <w:left w:val="none" w:sz="0" w:space="0" w:color="auto"/>
        <w:bottom w:val="none" w:sz="0" w:space="0" w:color="auto"/>
        <w:right w:val="none" w:sz="0" w:space="0" w:color="auto"/>
      </w:divBdr>
    </w:div>
    <w:div w:id="639454495">
      <w:bodyDiv w:val="1"/>
      <w:marLeft w:val="0"/>
      <w:marRight w:val="0"/>
      <w:marTop w:val="0"/>
      <w:marBottom w:val="0"/>
      <w:divBdr>
        <w:top w:val="none" w:sz="0" w:space="0" w:color="auto"/>
        <w:left w:val="none" w:sz="0" w:space="0" w:color="auto"/>
        <w:bottom w:val="none" w:sz="0" w:space="0" w:color="auto"/>
        <w:right w:val="none" w:sz="0" w:space="0" w:color="auto"/>
      </w:divBdr>
    </w:div>
    <w:div w:id="639457007">
      <w:bodyDiv w:val="1"/>
      <w:marLeft w:val="0"/>
      <w:marRight w:val="0"/>
      <w:marTop w:val="0"/>
      <w:marBottom w:val="0"/>
      <w:divBdr>
        <w:top w:val="none" w:sz="0" w:space="0" w:color="auto"/>
        <w:left w:val="none" w:sz="0" w:space="0" w:color="auto"/>
        <w:bottom w:val="none" w:sz="0" w:space="0" w:color="auto"/>
        <w:right w:val="none" w:sz="0" w:space="0" w:color="auto"/>
      </w:divBdr>
    </w:div>
    <w:div w:id="651757630">
      <w:bodyDiv w:val="1"/>
      <w:marLeft w:val="0"/>
      <w:marRight w:val="0"/>
      <w:marTop w:val="0"/>
      <w:marBottom w:val="0"/>
      <w:divBdr>
        <w:top w:val="none" w:sz="0" w:space="0" w:color="auto"/>
        <w:left w:val="none" w:sz="0" w:space="0" w:color="auto"/>
        <w:bottom w:val="none" w:sz="0" w:space="0" w:color="auto"/>
        <w:right w:val="none" w:sz="0" w:space="0" w:color="auto"/>
      </w:divBdr>
    </w:div>
    <w:div w:id="659045991">
      <w:bodyDiv w:val="1"/>
      <w:marLeft w:val="0"/>
      <w:marRight w:val="0"/>
      <w:marTop w:val="0"/>
      <w:marBottom w:val="0"/>
      <w:divBdr>
        <w:top w:val="none" w:sz="0" w:space="0" w:color="auto"/>
        <w:left w:val="none" w:sz="0" w:space="0" w:color="auto"/>
        <w:bottom w:val="none" w:sz="0" w:space="0" w:color="auto"/>
        <w:right w:val="none" w:sz="0" w:space="0" w:color="auto"/>
      </w:divBdr>
    </w:div>
    <w:div w:id="665130816">
      <w:bodyDiv w:val="1"/>
      <w:marLeft w:val="0"/>
      <w:marRight w:val="0"/>
      <w:marTop w:val="0"/>
      <w:marBottom w:val="0"/>
      <w:divBdr>
        <w:top w:val="none" w:sz="0" w:space="0" w:color="auto"/>
        <w:left w:val="none" w:sz="0" w:space="0" w:color="auto"/>
        <w:bottom w:val="none" w:sz="0" w:space="0" w:color="auto"/>
        <w:right w:val="none" w:sz="0" w:space="0" w:color="auto"/>
      </w:divBdr>
    </w:div>
    <w:div w:id="668757343">
      <w:bodyDiv w:val="1"/>
      <w:marLeft w:val="0"/>
      <w:marRight w:val="0"/>
      <w:marTop w:val="0"/>
      <w:marBottom w:val="0"/>
      <w:divBdr>
        <w:top w:val="none" w:sz="0" w:space="0" w:color="auto"/>
        <w:left w:val="none" w:sz="0" w:space="0" w:color="auto"/>
        <w:bottom w:val="none" w:sz="0" w:space="0" w:color="auto"/>
        <w:right w:val="none" w:sz="0" w:space="0" w:color="auto"/>
      </w:divBdr>
    </w:div>
    <w:div w:id="669798662">
      <w:bodyDiv w:val="1"/>
      <w:marLeft w:val="0"/>
      <w:marRight w:val="0"/>
      <w:marTop w:val="0"/>
      <w:marBottom w:val="0"/>
      <w:divBdr>
        <w:top w:val="none" w:sz="0" w:space="0" w:color="auto"/>
        <w:left w:val="none" w:sz="0" w:space="0" w:color="auto"/>
        <w:bottom w:val="none" w:sz="0" w:space="0" w:color="auto"/>
        <w:right w:val="none" w:sz="0" w:space="0" w:color="auto"/>
      </w:divBdr>
    </w:div>
    <w:div w:id="675964745">
      <w:bodyDiv w:val="1"/>
      <w:marLeft w:val="0"/>
      <w:marRight w:val="0"/>
      <w:marTop w:val="0"/>
      <w:marBottom w:val="0"/>
      <w:divBdr>
        <w:top w:val="none" w:sz="0" w:space="0" w:color="auto"/>
        <w:left w:val="none" w:sz="0" w:space="0" w:color="auto"/>
        <w:bottom w:val="none" w:sz="0" w:space="0" w:color="auto"/>
        <w:right w:val="none" w:sz="0" w:space="0" w:color="auto"/>
      </w:divBdr>
    </w:div>
    <w:div w:id="677776332">
      <w:bodyDiv w:val="1"/>
      <w:marLeft w:val="0"/>
      <w:marRight w:val="0"/>
      <w:marTop w:val="0"/>
      <w:marBottom w:val="0"/>
      <w:divBdr>
        <w:top w:val="none" w:sz="0" w:space="0" w:color="auto"/>
        <w:left w:val="none" w:sz="0" w:space="0" w:color="auto"/>
        <w:bottom w:val="none" w:sz="0" w:space="0" w:color="auto"/>
        <w:right w:val="none" w:sz="0" w:space="0" w:color="auto"/>
      </w:divBdr>
    </w:div>
    <w:div w:id="685670298">
      <w:bodyDiv w:val="1"/>
      <w:marLeft w:val="0"/>
      <w:marRight w:val="0"/>
      <w:marTop w:val="0"/>
      <w:marBottom w:val="0"/>
      <w:divBdr>
        <w:top w:val="none" w:sz="0" w:space="0" w:color="auto"/>
        <w:left w:val="none" w:sz="0" w:space="0" w:color="auto"/>
        <w:bottom w:val="none" w:sz="0" w:space="0" w:color="auto"/>
        <w:right w:val="none" w:sz="0" w:space="0" w:color="auto"/>
      </w:divBdr>
    </w:div>
    <w:div w:id="692536415">
      <w:bodyDiv w:val="1"/>
      <w:marLeft w:val="0"/>
      <w:marRight w:val="0"/>
      <w:marTop w:val="0"/>
      <w:marBottom w:val="0"/>
      <w:divBdr>
        <w:top w:val="none" w:sz="0" w:space="0" w:color="auto"/>
        <w:left w:val="none" w:sz="0" w:space="0" w:color="auto"/>
        <w:bottom w:val="none" w:sz="0" w:space="0" w:color="auto"/>
        <w:right w:val="none" w:sz="0" w:space="0" w:color="auto"/>
      </w:divBdr>
    </w:div>
    <w:div w:id="710228463">
      <w:bodyDiv w:val="1"/>
      <w:marLeft w:val="0"/>
      <w:marRight w:val="0"/>
      <w:marTop w:val="0"/>
      <w:marBottom w:val="0"/>
      <w:divBdr>
        <w:top w:val="none" w:sz="0" w:space="0" w:color="auto"/>
        <w:left w:val="none" w:sz="0" w:space="0" w:color="auto"/>
        <w:bottom w:val="none" w:sz="0" w:space="0" w:color="auto"/>
        <w:right w:val="none" w:sz="0" w:space="0" w:color="auto"/>
      </w:divBdr>
    </w:div>
    <w:div w:id="712657852">
      <w:bodyDiv w:val="1"/>
      <w:marLeft w:val="0"/>
      <w:marRight w:val="0"/>
      <w:marTop w:val="0"/>
      <w:marBottom w:val="0"/>
      <w:divBdr>
        <w:top w:val="none" w:sz="0" w:space="0" w:color="auto"/>
        <w:left w:val="none" w:sz="0" w:space="0" w:color="auto"/>
        <w:bottom w:val="none" w:sz="0" w:space="0" w:color="auto"/>
        <w:right w:val="none" w:sz="0" w:space="0" w:color="auto"/>
      </w:divBdr>
    </w:div>
    <w:div w:id="717971306">
      <w:bodyDiv w:val="1"/>
      <w:marLeft w:val="0"/>
      <w:marRight w:val="0"/>
      <w:marTop w:val="0"/>
      <w:marBottom w:val="0"/>
      <w:divBdr>
        <w:top w:val="none" w:sz="0" w:space="0" w:color="auto"/>
        <w:left w:val="none" w:sz="0" w:space="0" w:color="auto"/>
        <w:bottom w:val="none" w:sz="0" w:space="0" w:color="auto"/>
        <w:right w:val="none" w:sz="0" w:space="0" w:color="auto"/>
      </w:divBdr>
    </w:div>
    <w:div w:id="720634603">
      <w:bodyDiv w:val="1"/>
      <w:marLeft w:val="0"/>
      <w:marRight w:val="0"/>
      <w:marTop w:val="0"/>
      <w:marBottom w:val="0"/>
      <w:divBdr>
        <w:top w:val="none" w:sz="0" w:space="0" w:color="auto"/>
        <w:left w:val="none" w:sz="0" w:space="0" w:color="auto"/>
        <w:bottom w:val="none" w:sz="0" w:space="0" w:color="auto"/>
        <w:right w:val="none" w:sz="0" w:space="0" w:color="auto"/>
      </w:divBdr>
    </w:div>
    <w:div w:id="740516870">
      <w:bodyDiv w:val="1"/>
      <w:marLeft w:val="0"/>
      <w:marRight w:val="0"/>
      <w:marTop w:val="0"/>
      <w:marBottom w:val="0"/>
      <w:divBdr>
        <w:top w:val="none" w:sz="0" w:space="0" w:color="auto"/>
        <w:left w:val="none" w:sz="0" w:space="0" w:color="auto"/>
        <w:bottom w:val="none" w:sz="0" w:space="0" w:color="auto"/>
        <w:right w:val="none" w:sz="0" w:space="0" w:color="auto"/>
      </w:divBdr>
    </w:div>
    <w:div w:id="740636745">
      <w:bodyDiv w:val="1"/>
      <w:marLeft w:val="0"/>
      <w:marRight w:val="0"/>
      <w:marTop w:val="0"/>
      <w:marBottom w:val="0"/>
      <w:divBdr>
        <w:top w:val="none" w:sz="0" w:space="0" w:color="auto"/>
        <w:left w:val="none" w:sz="0" w:space="0" w:color="auto"/>
        <w:bottom w:val="none" w:sz="0" w:space="0" w:color="auto"/>
        <w:right w:val="none" w:sz="0" w:space="0" w:color="auto"/>
      </w:divBdr>
    </w:div>
    <w:div w:id="779689341">
      <w:bodyDiv w:val="1"/>
      <w:marLeft w:val="0"/>
      <w:marRight w:val="0"/>
      <w:marTop w:val="0"/>
      <w:marBottom w:val="0"/>
      <w:divBdr>
        <w:top w:val="none" w:sz="0" w:space="0" w:color="auto"/>
        <w:left w:val="none" w:sz="0" w:space="0" w:color="auto"/>
        <w:bottom w:val="none" w:sz="0" w:space="0" w:color="auto"/>
        <w:right w:val="none" w:sz="0" w:space="0" w:color="auto"/>
      </w:divBdr>
    </w:div>
    <w:div w:id="789861149">
      <w:bodyDiv w:val="1"/>
      <w:marLeft w:val="0"/>
      <w:marRight w:val="0"/>
      <w:marTop w:val="0"/>
      <w:marBottom w:val="0"/>
      <w:divBdr>
        <w:top w:val="none" w:sz="0" w:space="0" w:color="auto"/>
        <w:left w:val="none" w:sz="0" w:space="0" w:color="auto"/>
        <w:bottom w:val="none" w:sz="0" w:space="0" w:color="auto"/>
        <w:right w:val="none" w:sz="0" w:space="0" w:color="auto"/>
      </w:divBdr>
    </w:div>
    <w:div w:id="799499276">
      <w:bodyDiv w:val="1"/>
      <w:marLeft w:val="0"/>
      <w:marRight w:val="0"/>
      <w:marTop w:val="0"/>
      <w:marBottom w:val="0"/>
      <w:divBdr>
        <w:top w:val="none" w:sz="0" w:space="0" w:color="auto"/>
        <w:left w:val="none" w:sz="0" w:space="0" w:color="auto"/>
        <w:bottom w:val="none" w:sz="0" w:space="0" w:color="auto"/>
        <w:right w:val="none" w:sz="0" w:space="0" w:color="auto"/>
      </w:divBdr>
    </w:div>
    <w:div w:id="800537939">
      <w:bodyDiv w:val="1"/>
      <w:marLeft w:val="0"/>
      <w:marRight w:val="0"/>
      <w:marTop w:val="0"/>
      <w:marBottom w:val="0"/>
      <w:divBdr>
        <w:top w:val="none" w:sz="0" w:space="0" w:color="auto"/>
        <w:left w:val="none" w:sz="0" w:space="0" w:color="auto"/>
        <w:bottom w:val="none" w:sz="0" w:space="0" w:color="auto"/>
        <w:right w:val="none" w:sz="0" w:space="0" w:color="auto"/>
      </w:divBdr>
    </w:div>
    <w:div w:id="805976928">
      <w:bodyDiv w:val="1"/>
      <w:marLeft w:val="0"/>
      <w:marRight w:val="0"/>
      <w:marTop w:val="0"/>
      <w:marBottom w:val="0"/>
      <w:divBdr>
        <w:top w:val="none" w:sz="0" w:space="0" w:color="auto"/>
        <w:left w:val="none" w:sz="0" w:space="0" w:color="auto"/>
        <w:bottom w:val="none" w:sz="0" w:space="0" w:color="auto"/>
        <w:right w:val="none" w:sz="0" w:space="0" w:color="auto"/>
      </w:divBdr>
    </w:div>
    <w:div w:id="808474335">
      <w:bodyDiv w:val="1"/>
      <w:marLeft w:val="0"/>
      <w:marRight w:val="0"/>
      <w:marTop w:val="0"/>
      <w:marBottom w:val="0"/>
      <w:divBdr>
        <w:top w:val="none" w:sz="0" w:space="0" w:color="auto"/>
        <w:left w:val="none" w:sz="0" w:space="0" w:color="auto"/>
        <w:bottom w:val="none" w:sz="0" w:space="0" w:color="auto"/>
        <w:right w:val="none" w:sz="0" w:space="0" w:color="auto"/>
      </w:divBdr>
    </w:div>
    <w:div w:id="818883497">
      <w:bodyDiv w:val="1"/>
      <w:marLeft w:val="0"/>
      <w:marRight w:val="0"/>
      <w:marTop w:val="0"/>
      <w:marBottom w:val="0"/>
      <w:divBdr>
        <w:top w:val="none" w:sz="0" w:space="0" w:color="auto"/>
        <w:left w:val="none" w:sz="0" w:space="0" w:color="auto"/>
        <w:bottom w:val="none" w:sz="0" w:space="0" w:color="auto"/>
        <w:right w:val="none" w:sz="0" w:space="0" w:color="auto"/>
      </w:divBdr>
    </w:div>
    <w:div w:id="848981188">
      <w:bodyDiv w:val="1"/>
      <w:marLeft w:val="0"/>
      <w:marRight w:val="0"/>
      <w:marTop w:val="0"/>
      <w:marBottom w:val="0"/>
      <w:divBdr>
        <w:top w:val="none" w:sz="0" w:space="0" w:color="auto"/>
        <w:left w:val="none" w:sz="0" w:space="0" w:color="auto"/>
        <w:bottom w:val="none" w:sz="0" w:space="0" w:color="auto"/>
        <w:right w:val="none" w:sz="0" w:space="0" w:color="auto"/>
      </w:divBdr>
    </w:div>
    <w:div w:id="855967704">
      <w:bodyDiv w:val="1"/>
      <w:marLeft w:val="0"/>
      <w:marRight w:val="0"/>
      <w:marTop w:val="0"/>
      <w:marBottom w:val="0"/>
      <w:divBdr>
        <w:top w:val="none" w:sz="0" w:space="0" w:color="auto"/>
        <w:left w:val="none" w:sz="0" w:space="0" w:color="auto"/>
        <w:bottom w:val="none" w:sz="0" w:space="0" w:color="auto"/>
        <w:right w:val="none" w:sz="0" w:space="0" w:color="auto"/>
      </w:divBdr>
    </w:div>
    <w:div w:id="855998147">
      <w:bodyDiv w:val="1"/>
      <w:marLeft w:val="0"/>
      <w:marRight w:val="0"/>
      <w:marTop w:val="0"/>
      <w:marBottom w:val="0"/>
      <w:divBdr>
        <w:top w:val="none" w:sz="0" w:space="0" w:color="auto"/>
        <w:left w:val="none" w:sz="0" w:space="0" w:color="auto"/>
        <w:bottom w:val="none" w:sz="0" w:space="0" w:color="auto"/>
        <w:right w:val="none" w:sz="0" w:space="0" w:color="auto"/>
      </w:divBdr>
    </w:div>
    <w:div w:id="869337216">
      <w:bodyDiv w:val="1"/>
      <w:marLeft w:val="0"/>
      <w:marRight w:val="0"/>
      <w:marTop w:val="0"/>
      <w:marBottom w:val="0"/>
      <w:divBdr>
        <w:top w:val="none" w:sz="0" w:space="0" w:color="auto"/>
        <w:left w:val="none" w:sz="0" w:space="0" w:color="auto"/>
        <w:bottom w:val="none" w:sz="0" w:space="0" w:color="auto"/>
        <w:right w:val="none" w:sz="0" w:space="0" w:color="auto"/>
      </w:divBdr>
    </w:div>
    <w:div w:id="874121709">
      <w:bodyDiv w:val="1"/>
      <w:marLeft w:val="0"/>
      <w:marRight w:val="0"/>
      <w:marTop w:val="0"/>
      <w:marBottom w:val="0"/>
      <w:divBdr>
        <w:top w:val="none" w:sz="0" w:space="0" w:color="auto"/>
        <w:left w:val="none" w:sz="0" w:space="0" w:color="auto"/>
        <w:bottom w:val="none" w:sz="0" w:space="0" w:color="auto"/>
        <w:right w:val="none" w:sz="0" w:space="0" w:color="auto"/>
      </w:divBdr>
    </w:div>
    <w:div w:id="875697379">
      <w:bodyDiv w:val="1"/>
      <w:marLeft w:val="0"/>
      <w:marRight w:val="0"/>
      <w:marTop w:val="0"/>
      <w:marBottom w:val="0"/>
      <w:divBdr>
        <w:top w:val="none" w:sz="0" w:space="0" w:color="auto"/>
        <w:left w:val="none" w:sz="0" w:space="0" w:color="auto"/>
        <w:bottom w:val="none" w:sz="0" w:space="0" w:color="auto"/>
        <w:right w:val="none" w:sz="0" w:space="0" w:color="auto"/>
      </w:divBdr>
    </w:div>
    <w:div w:id="879167918">
      <w:bodyDiv w:val="1"/>
      <w:marLeft w:val="0"/>
      <w:marRight w:val="0"/>
      <w:marTop w:val="0"/>
      <w:marBottom w:val="0"/>
      <w:divBdr>
        <w:top w:val="none" w:sz="0" w:space="0" w:color="auto"/>
        <w:left w:val="none" w:sz="0" w:space="0" w:color="auto"/>
        <w:bottom w:val="none" w:sz="0" w:space="0" w:color="auto"/>
        <w:right w:val="none" w:sz="0" w:space="0" w:color="auto"/>
      </w:divBdr>
    </w:div>
    <w:div w:id="884676265">
      <w:bodyDiv w:val="1"/>
      <w:marLeft w:val="0"/>
      <w:marRight w:val="0"/>
      <w:marTop w:val="0"/>
      <w:marBottom w:val="0"/>
      <w:divBdr>
        <w:top w:val="none" w:sz="0" w:space="0" w:color="auto"/>
        <w:left w:val="none" w:sz="0" w:space="0" w:color="auto"/>
        <w:bottom w:val="none" w:sz="0" w:space="0" w:color="auto"/>
        <w:right w:val="none" w:sz="0" w:space="0" w:color="auto"/>
      </w:divBdr>
    </w:div>
    <w:div w:id="884953378">
      <w:bodyDiv w:val="1"/>
      <w:marLeft w:val="0"/>
      <w:marRight w:val="0"/>
      <w:marTop w:val="0"/>
      <w:marBottom w:val="0"/>
      <w:divBdr>
        <w:top w:val="none" w:sz="0" w:space="0" w:color="auto"/>
        <w:left w:val="none" w:sz="0" w:space="0" w:color="auto"/>
        <w:bottom w:val="none" w:sz="0" w:space="0" w:color="auto"/>
        <w:right w:val="none" w:sz="0" w:space="0" w:color="auto"/>
      </w:divBdr>
    </w:div>
    <w:div w:id="885411080">
      <w:bodyDiv w:val="1"/>
      <w:marLeft w:val="0"/>
      <w:marRight w:val="0"/>
      <w:marTop w:val="0"/>
      <w:marBottom w:val="0"/>
      <w:divBdr>
        <w:top w:val="none" w:sz="0" w:space="0" w:color="auto"/>
        <w:left w:val="none" w:sz="0" w:space="0" w:color="auto"/>
        <w:bottom w:val="none" w:sz="0" w:space="0" w:color="auto"/>
        <w:right w:val="none" w:sz="0" w:space="0" w:color="auto"/>
      </w:divBdr>
    </w:div>
    <w:div w:id="885484872">
      <w:bodyDiv w:val="1"/>
      <w:marLeft w:val="0"/>
      <w:marRight w:val="0"/>
      <w:marTop w:val="0"/>
      <w:marBottom w:val="0"/>
      <w:divBdr>
        <w:top w:val="none" w:sz="0" w:space="0" w:color="auto"/>
        <w:left w:val="none" w:sz="0" w:space="0" w:color="auto"/>
        <w:bottom w:val="none" w:sz="0" w:space="0" w:color="auto"/>
        <w:right w:val="none" w:sz="0" w:space="0" w:color="auto"/>
      </w:divBdr>
    </w:div>
    <w:div w:id="892694806">
      <w:bodyDiv w:val="1"/>
      <w:marLeft w:val="0"/>
      <w:marRight w:val="0"/>
      <w:marTop w:val="0"/>
      <w:marBottom w:val="0"/>
      <w:divBdr>
        <w:top w:val="none" w:sz="0" w:space="0" w:color="auto"/>
        <w:left w:val="none" w:sz="0" w:space="0" w:color="auto"/>
        <w:bottom w:val="none" w:sz="0" w:space="0" w:color="auto"/>
        <w:right w:val="none" w:sz="0" w:space="0" w:color="auto"/>
      </w:divBdr>
    </w:div>
    <w:div w:id="899631905">
      <w:bodyDiv w:val="1"/>
      <w:marLeft w:val="0"/>
      <w:marRight w:val="0"/>
      <w:marTop w:val="0"/>
      <w:marBottom w:val="0"/>
      <w:divBdr>
        <w:top w:val="none" w:sz="0" w:space="0" w:color="auto"/>
        <w:left w:val="none" w:sz="0" w:space="0" w:color="auto"/>
        <w:bottom w:val="none" w:sz="0" w:space="0" w:color="auto"/>
        <w:right w:val="none" w:sz="0" w:space="0" w:color="auto"/>
      </w:divBdr>
    </w:div>
    <w:div w:id="903219630">
      <w:bodyDiv w:val="1"/>
      <w:marLeft w:val="0"/>
      <w:marRight w:val="0"/>
      <w:marTop w:val="0"/>
      <w:marBottom w:val="0"/>
      <w:divBdr>
        <w:top w:val="none" w:sz="0" w:space="0" w:color="auto"/>
        <w:left w:val="none" w:sz="0" w:space="0" w:color="auto"/>
        <w:bottom w:val="none" w:sz="0" w:space="0" w:color="auto"/>
        <w:right w:val="none" w:sz="0" w:space="0" w:color="auto"/>
      </w:divBdr>
    </w:div>
    <w:div w:id="903639470">
      <w:bodyDiv w:val="1"/>
      <w:marLeft w:val="0"/>
      <w:marRight w:val="0"/>
      <w:marTop w:val="0"/>
      <w:marBottom w:val="0"/>
      <w:divBdr>
        <w:top w:val="none" w:sz="0" w:space="0" w:color="auto"/>
        <w:left w:val="none" w:sz="0" w:space="0" w:color="auto"/>
        <w:bottom w:val="none" w:sz="0" w:space="0" w:color="auto"/>
        <w:right w:val="none" w:sz="0" w:space="0" w:color="auto"/>
      </w:divBdr>
    </w:div>
    <w:div w:id="904030980">
      <w:bodyDiv w:val="1"/>
      <w:marLeft w:val="0"/>
      <w:marRight w:val="0"/>
      <w:marTop w:val="0"/>
      <w:marBottom w:val="0"/>
      <w:divBdr>
        <w:top w:val="none" w:sz="0" w:space="0" w:color="auto"/>
        <w:left w:val="none" w:sz="0" w:space="0" w:color="auto"/>
        <w:bottom w:val="none" w:sz="0" w:space="0" w:color="auto"/>
        <w:right w:val="none" w:sz="0" w:space="0" w:color="auto"/>
      </w:divBdr>
    </w:div>
    <w:div w:id="917322913">
      <w:bodyDiv w:val="1"/>
      <w:marLeft w:val="0"/>
      <w:marRight w:val="0"/>
      <w:marTop w:val="0"/>
      <w:marBottom w:val="0"/>
      <w:divBdr>
        <w:top w:val="none" w:sz="0" w:space="0" w:color="auto"/>
        <w:left w:val="none" w:sz="0" w:space="0" w:color="auto"/>
        <w:bottom w:val="none" w:sz="0" w:space="0" w:color="auto"/>
        <w:right w:val="none" w:sz="0" w:space="0" w:color="auto"/>
      </w:divBdr>
    </w:div>
    <w:div w:id="919220363">
      <w:bodyDiv w:val="1"/>
      <w:marLeft w:val="0"/>
      <w:marRight w:val="0"/>
      <w:marTop w:val="0"/>
      <w:marBottom w:val="0"/>
      <w:divBdr>
        <w:top w:val="none" w:sz="0" w:space="0" w:color="auto"/>
        <w:left w:val="none" w:sz="0" w:space="0" w:color="auto"/>
        <w:bottom w:val="none" w:sz="0" w:space="0" w:color="auto"/>
        <w:right w:val="none" w:sz="0" w:space="0" w:color="auto"/>
      </w:divBdr>
    </w:div>
    <w:div w:id="932013962">
      <w:bodyDiv w:val="1"/>
      <w:marLeft w:val="0"/>
      <w:marRight w:val="0"/>
      <w:marTop w:val="0"/>
      <w:marBottom w:val="0"/>
      <w:divBdr>
        <w:top w:val="none" w:sz="0" w:space="0" w:color="auto"/>
        <w:left w:val="none" w:sz="0" w:space="0" w:color="auto"/>
        <w:bottom w:val="none" w:sz="0" w:space="0" w:color="auto"/>
        <w:right w:val="none" w:sz="0" w:space="0" w:color="auto"/>
      </w:divBdr>
    </w:div>
    <w:div w:id="935282782">
      <w:bodyDiv w:val="1"/>
      <w:marLeft w:val="0"/>
      <w:marRight w:val="0"/>
      <w:marTop w:val="0"/>
      <w:marBottom w:val="0"/>
      <w:divBdr>
        <w:top w:val="none" w:sz="0" w:space="0" w:color="auto"/>
        <w:left w:val="none" w:sz="0" w:space="0" w:color="auto"/>
        <w:bottom w:val="none" w:sz="0" w:space="0" w:color="auto"/>
        <w:right w:val="none" w:sz="0" w:space="0" w:color="auto"/>
      </w:divBdr>
    </w:div>
    <w:div w:id="936446215">
      <w:bodyDiv w:val="1"/>
      <w:marLeft w:val="0"/>
      <w:marRight w:val="0"/>
      <w:marTop w:val="0"/>
      <w:marBottom w:val="0"/>
      <w:divBdr>
        <w:top w:val="none" w:sz="0" w:space="0" w:color="auto"/>
        <w:left w:val="none" w:sz="0" w:space="0" w:color="auto"/>
        <w:bottom w:val="none" w:sz="0" w:space="0" w:color="auto"/>
        <w:right w:val="none" w:sz="0" w:space="0" w:color="auto"/>
      </w:divBdr>
    </w:div>
    <w:div w:id="945304559">
      <w:bodyDiv w:val="1"/>
      <w:marLeft w:val="0"/>
      <w:marRight w:val="0"/>
      <w:marTop w:val="0"/>
      <w:marBottom w:val="0"/>
      <w:divBdr>
        <w:top w:val="none" w:sz="0" w:space="0" w:color="auto"/>
        <w:left w:val="none" w:sz="0" w:space="0" w:color="auto"/>
        <w:bottom w:val="none" w:sz="0" w:space="0" w:color="auto"/>
        <w:right w:val="none" w:sz="0" w:space="0" w:color="auto"/>
      </w:divBdr>
    </w:div>
    <w:div w:id="945700554">
      <w:bodyDiv w:val="1"/>
      <w:marLeft w:val="0"/>
      <w:marRight w:val="0"/>
      <w:marTop w:val="0"/>
      <w:marBottom w:val="0"/>
      <w:divBdr>
        <w:top w:val="none" w:sz="0" w:space="0" w:color="auto"/>
        <w:left w:val="none" w:sz="0" w:space="0" w:color="auto"/>
        <w:bottom w:val="none" w:sz="0" w:space="0" w:color="auto"/>
        <w:right w:val="none" w:sz="0" w:space="0" w:color="auto"/>
      </w:divBdr>
    </w:div>
    <w:div w:id="948243519">
      <w:bodyDiv w:val="1"/>
      <w:marLeft w:val="0"/>
      <w:marRight w:val="0"/>
      <w:marTop w:val="0"/>
      <w:marBottom w:val="0"/>
      <w:divBdr>
        <w:top w:val="none" w:sz="0" w:space="0" w:color="auto"/>
        <w:left w:val="none" w:sz="0" w:space="0" w:color="auto"/>
        <w:bottom w:val="none" w:sz="0" w:space="0" w:color="auto"/>
        <w:right w:val="none" w:sz="0" w:space="0" w:color="auto"/>
      </w:divBdr>
    </w:div>
    <w:div w:id="973487394">
      <w:bodyDiv w:val="1"/>
      <w:marLeft w:val="0"/>
      <w:marRight w:val="0"/>
      <w:marTop w:val="0"/>
      <w:marBottom w:val="0"/>
      <w:divBdr>
        <w:top w:val="none" w:sz="0" w:space="0" w:color="auto"/>
        <w:left w:val="none" w:sz="0" w:space="0" w:color="auto"/>
        <w:bottom w:val="none" w:sz="0" w:space="0" w:color="auto"/>
        <w:right w:val="none" w:sz="0" w:space="0" w:color="auto"/>
      </w:divBdr>
    </w:div>
    <w:div w:id="973681476">
      <w:bodyDiv w:val="1"/>
      <w:marLeft w:val="0"/>
      <w:marRight w:val="0"/>
      <w:marTop w:val="0"/>
      <w:marBottom w:val="0"/>
      <w:divBdr>
        <w:top w:val="none" w:sz="0" w:space="0" w:color="auto"/>
        <w:left w:val="none" w:sz="0" w:space="0" w:color="auto"/>
        <w:bottom w:val="none" w:sz="0" w:space="0" w:color="auto"/>
        <w:right w:val="none" w:sz="0" w:space="0" w:color="auto"/>
      </w:divBdr>
    </w:div>
    <w:div w:id="973683140">
      <w:bodyDiv w:val="1"/>
      <w:marLeft w:val="0"/>
      <w:marRight w:val="0"/>
      <w:marTop w:val="0"/>
      <w:marBottom w:val="0"/>
      <w:divBdr>
        <w:top w:val="none" w:sz="0" w:space="0" w:color="auto"/>
        <w:left w:val="none" w:sz="0" w:space="0" w:color="auto"/>
        <w:bottom w:val="none" w:sz="0" w:space="0" w:color="auto"/>
        <w:right w:val="none" w:sz="0" w:space="0" w:color="auto"/>
      </w:divBdr>
    </w:div>
    <w:div w:id="981345410">
      <w:bodyDiv w:val="1"/>
      <w:marLeft w:val="0"/>
      <w:marRight w:val="0"/>
      <w:marTop w:val="0"/>
      <w:marBottom w:val="0"/>
      <w:divBdr>
        <w:top w:val="none" w:sz="0" w:space="0" w:color="auto"/>
        <w:left w:val="none" w:sz="0" w:space="0" w:color="auto"/>
        <w:bottom w:val="none" w:sz="0" w:space="0" w:color="auto"/>
        <w:right w:val="none" w:sz="0" w:space="0" w:color="auto"/>
      </w:divBdr>
    </w:div>
    <w:div w:id="983311352">
      <w:bodyDiv w:val="1"/>
      <w:marLeft w:val="0"/>
      <w:marRight w:val="0"/>
      <w:marTop w:val="0"/>
      <w:marBottom w:val="0"/>
      <w:divBdr>
        <w:top w:val="none" w:sz="0" w:space="0" w:color="auto"/>
        <w:left w:val="none" w:sz="0" w:space="0" w:color="auto"/>
        <w:bottom w:val="none" w:sz="0" w:space="0" w:color="auto"/>
        <w:right w:val="none" w:sz="0" w:space="0" w:color="auto"/>
      </w:divBdr>
    </w:div>
    <w:div w:id="993489299">
      <w:bodyDiv w:val="1"/>
      <w:marLeft w:val="0"/>
      <w:marRight w:val="0"/>
      <w:marTop w:val="0"/>
      <w:marBottom w:val="0"/>
      <w:divBdr>
        <w:top w:val="none" w:sz="0" w:space="0" w:color="auto"/>
        <w:left w:val="none" w:sz="0" w:space="0" w:color="auto"/>
        <w:bottom w:val="none" w:sz="0" w:space="0" w:color="auto"/>
        <w:right w:val="none" w:sz="0" w:space="0" w:color="auto"/>
      </w:divBdr>
    </w:div>
    <w:div w:id="997880402">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005010575">
      <w:bodyDiv w:val="1"/>
      <w:marLeft w:val="0"/>
      <w:marRight w:val="0"/>
      <w:marTop w:val="0"/>
      <w:marBottom w:val="0"/>
      <w:divBdr>
        <w:top w:val="none" w:sz="0" w:space="0" w:color="auto"/>
        <w:left w:val="none" w:sz="0" w:space="0" w:color="auto"/>
        <w:bottom w:val="none" w:sz="0" w:space="0" w:color="auto"/>
        <w:right w:val="none" w:sz="0" w:space="0" w:color="auto"/>
      </w:divBdr>
    </w:div>
    <w:div w:id="1007755800">
      <w:bodyDiv w:val="1"/>
      <w:marLeft w:val="0"/>
      <w:marRight w:val="0"/>
      <w:marTop w:val="0"/>
      <w:marBottom w:val="0"/>
      <w:divBdr>
        <w:top w:val="none" w:sz="0" w:space="0" w:color="auto"/>
        <w:left w:val="none" w:sz="0" w:space="0" w:color="auto"/>
        <w:bottom w:val="none" w:sz="0" w:space="0" w:color="auto"/>
        <w:right w:val="none" w:sz="0" w:space="0" w:color="auto"/>
      </w:divBdr>
    </w:div>
    <w:div w:id="1008286204">
      <w:bodyDiv w:val="1"/>
      <w:marLeft w:val="0"/>
      <w:marRight w:val="0"/>
      <w:marTop w:val="0"/>
      <w:marBottom w:val="0"/>
      <w:divBdr>
        <w:top w:val="none" w:sz="0" w:space="0" w:color="auto"/>
        <w:left w:val="none" w:sz="0" w:space="0" w:color="auto"/>
        <w:bottom w:val="none" w:sz="0" w:space="0" w:color="auto"/>
        <w:right w:val="none" w:sz="0" w:space="0" w:color="auto"/>
      </w:divBdr>
    </w:div>
    <w:div w:id="1014192696">
      <w:bodyDiv w:val="1"/>
      <w:marLeft w:val="0"/>
      <w:marRight w:val="0"/>
      <w:marTop w:val="0"/>
      <w:marBottom w:val="0"/>
      <w:divBdr>
        <w:top w:val="none" w:sz="0" w:space="0" w:color="auto"/>
        <w:left w:val="none" w:sz="0" w:space="0" w:color="auto"/>
        <w:bottom w:val="none" w:sz="0" w:space="0" w:color="auto"/>
        <w:right w:val="none" w:sz="0" w:space="0" w:color="auto"/>
      </w:divBdr>
    </w:div>
    <w:div w:id="1031611313">
      <w:bodyDiv w:val="1"/>
      <w:marLeft w:val="0"/>
      <w:marRight w:val="0"/>
      <w:marTop w:val="0"/>
      <w:marBottom w:val="0"/>
      <w:divBdr>
        <w:top w:val="none" w:sz="0" w:space="0" w:color="auto"/>
        <w:left w:val="none" w:sz="0" w:space="0" w:color="auto"/>
        <w:bottom w:val="none" w:sz="0" w:space="0" w:color="auto"/>
        <w:right w:val="none" w:sz="0" w:space="0" w:color="auto"/>
      </w:divBdr>
    </w:div>
    <w:div w:id="1040714550">
      <w:bodyDiv w:val="1"/>
      <w:marLeft w:val="0"/>
      <w:marRight w:val="0"/>
      <w:marTop w:val="0"/>
      <w:marBottom w:val="0"/>
      <w:divBdr>
        <w:top w:val="none" w:sz="0" w:space="0" w:color="auto"/>
        <w:left w:val="none" w:sz="0" w:space="0" w:color="auto"/>
        <w:bottom w:val="none" w:sz="0" w:space="0" w:color="auto"/>
        <w:right w:val="none" w:sz="0" w:space="0" w:color="auto"/>
      </w:divBdr>
    </w:div>
    <w:div w:id="1061755782">
      <w:bodyDiv w:val="1"/>
      <w:marLeft w:val="0"/>
      <w:marRight w:val="0"/>
      <w:marTop w:val="0"/>
      <w:marBottom w:val="0"/>
      <w:divBdr>
        <w:top w:val="none" w:sz="0" w:space="0" w:color="auto"/>
        <w:left w:val="none" w:sz="0" w:space="0" w:color="auto"/>
        <w:bottom w:val="none" w:sz="0" w:space="0" w:color="auto"/>
        <w:right w:val="none" w:sz="0" w:space="0" w:color="auto"/>
      </w:divBdr>
    </w:div>
    <w:div w:id="1064333425">
      <w:bodyDiv w:val="1"/>
      <w:marLeft w:val="0"/>
      <w:marRight w:val="0"/>
      <w:marTop w:val="0"/>
      <w:marBottom w:val="0"/>
      <w:divBdr>
        <w:top w:val="none" w:sz="0" w:space="0" w:color="auto"/>
        <w:left w:val="none" w:sz="0" w:space="0" w:color="auto"/>
        <w:bottom w:val="none" w:sz="0" w:space="0" w:color="auto"/>
        <w:right w:val="none" w:sz="0" w:space="0" w:color="auto"/>
      </w:divBdr>
    </w:div>
    <w:div w:id="1065640313">
      <w:bodyDiv w:val="1"/>
      <w:marLeft w:val="0"/>
      <w:marRight w:val="0"/>
      <w:marTop w:val="0"/>
      <w:marBottom w:val="0"/>
      <w:divBdr>
        <w:top w:val="none" w:sz="0" w:space="0" w:color="auto"/>
        <w:left w:val="none" w:sz="0" w:space="0" w:color="auto"/>
        <w:bottom w:val="none" w:sz="0" w:space="0" w:color="auto"/>
        <w:right w:val="none" w:sz="0" w:space="0" w:color="auto"/>
      </w:divBdr>
    </w:div>
    <w:div w:id="1065953994">
      <w:bodyDiv w:val="1"/>
      <w:marLeft w:val="0"/>
      <w:marRight w:val="0"/>
      <w:marTop w:val="0"/>
      <w:marBottom w:val="0"/>
      <w:divBdr>
        <w:top w:val="none" w:sz="0" w:space="0" w:color="auto"/>
        <w:left w:val="none" w:sz="0" w:space="0" w:color="auto"/>
        <w:bottom w:val="none" w:sz="0" w:space="0" w:color="auto"/>
        <w:right w:val="none" w:sz="0" w:space="0" w:color="auto"/>
      </w:divBdr>
    </w:div>
    <w:div w:id="1069495761">
      <w:bodyDiv w:val="1"/>
      <w:marLeft w:val="0"/>
      <w:marRight w:val="0"/>
      <w:marTop w:val="0"/>
      <w:marBottom w:val="0"/>
      <w:divBdr>
        <w:top w:val="none" w:sz="0" w:space="0" w:color="auto"/>
        <w:left w:val="none" w:sz="0" w:space="0" w:color="auto"/>
        <w:bottom w:val="none" w:sz="0" w:space="0" w:color="auto"/>
        <w:right w:val="none" w:sz="0" w:space="0" w:color="auto"/>
      </w:divBdr>
    </w:div>
    <w:div w:id="1074084931">
      <w:bodyDiv w:val="1"/>
      <w:marLeft w:val="0"/>
      <w:marRight w:val="0"/>
      <w:marTop w:val="0"/>
      <w:marBottom w:val="0"/>
      <w:divBdr>
        <w:top w:val="none" w:sz="0" w:space="0" w:color="auto"/>
        <w:left w:val="none" w:sz="0" w:space="0" w:color="auto"/>
        <w:bottom w:val="none" w:sz="0" w:space="0" w:color="auto"/>
        <w:right w:val="none" w:sz="0" w:space="0" w:color="auto"/>
      </w:divBdr>
    </w:div>
    <w:div w:id="1075317885">
      <w:bodyDiv w:val="1"/>
      <w:marLeft w:val="0"/>
      <w:marRight w:val="0"/>
      <w:marTop w:val="0"/>
      <w:marBottom w:val="0"/>
      <w:divBdr>
        <w:top w:val="none" w:sz="0" w:space="0" w:color="auto"/>
        <w:left w:val="none" w:sz="0" w:space="0" w:color="auto"/>
        <w:bottom w:val="none" w:sz="0" w:space="0" w:color="auto"/>
        <w:right w:val="none" w:sz="0" w:space="0" w:color="auto"/>
      </w:divBdr>
    </w:div>
    <w:div w:id="1084034901">
      <w:bodyDiv w:val="1"/>
      <w:marLeft w:val="0"/>
      <w:marRight w:val="0"/>
      <w:marTop w:val="0"/>
      <w:marBottom w:val="0"/>
      <w:divBdr>
        <w:top w:val="none" w:sz="0" w:space="0" w:color="auto"/>
        <w:left w:val="none" w:sz="0" w:space="0" w:color="auto"/>
        <w:bottom w:val="none" w:sz="0" w:space="0" w:color="auto"/>
        <w:right w:val="none" w:sz="0" w:space="0" w:color="auto"/>
      </w:divBdr>
    </w:div>
    <w:div w:id="1085954090">
      <w:bodyDiv w:val="1"/>
      <w:marLeft w:val="0"/>
      <w:marRight w:val="0"/>
      <w:marTop w:val="0"/>
      <w:marBottom w:val="0"/>
      <w:divBdr>
        <w:top w:val="none" w:sz="0" w:space="0" w:color="auto"/>
        <w:left w:val="none" w:sz="0" w:space="0" w:color="auto"/>
        <w:bottom w:val="none" w:sz="0" w:space="0" w:color="auto"/>
        <w:right w:val="none" w:sz="0" w:space="0" w:color="auto"/>
      </w:divBdr>
    </w:div>
    <w:div w:id="1107503604">
      <w:bodyDiv w:val="1"/>
      <w:marLeft w:val="0"/>
      <w:marRight w:val="0"/>
      <w:marTop w:val="0"/>
      <w:marBottom w:val="0"/>
      <w:divBdr>
        <w:top w:val="none" w:sz="0" w:space="0" w:color="auto"/>
        <w:left w:val="none" w:sz="0" w:space="0" w:color="auto"/>
        <w:bottom w:val="none" w:sz="0" w:space="0" w:color="auto"/>
        <w:right w:val="none" w:sz="0" w:space="0" w:color="auto"/>
      </w:divBdr>
    </w:div>
    <w:div w:id="1115516752">
      <w:bodyDiv w:val="1"/>
      <w:marLeft w:val="0"/>
      <w:marRight w:val="0"/>
      <w:marTop w:val="0"/>
      <w:marBottom w:val="0"/>
      <w:divBdr>
        <w:top w:val="none" w:sz="0" w:space="0" w:color="auto"/>
        <w:left w:val="none" w:sz="0" w:space="0" w:color="auto"/>
        <w:bottom w:val="none" w:sz="0" w:space="0" w:color="auto"/>
        <w:right w:val="none" w:sz="0" w:space="0" w:color="auto"/>
      </w:divBdr>
    </w:div>
    <w:div w:id="1121651334">
      <w:bodyDiv w:val="1"/>
      <w:marLeft w:val="0"/>
      <w:marRight w:val="0"/>
      <w:marTop w:val="0"/>
      <w:marBottom w:val="0"/>
      <w:divBdr>
        <w:top w:val="none" w:sz="0" w:space="0" w:color="auto"/>
        <w:left w:val="none" w:sz="0" w:space="0" w:color="auto"/>
        <w:bottom w:val="none" w:sz="0" w:space="0" w:color="auto"/>
        <w:right w:val="none" w:sz="0" w:space="0" w:color="auto"/>
      </w:divBdr>
    </w:div>
    <w:div w:id="1122764787">
      <w:bodyDiv w:val="1"/>
      <w:marLeft w:val="0"/>
      <w:marRight w:val="0"/>
      <w:marTop w:val="0"/>
      <w:marBottom w:val="0"/>
      <w:divBdr>
        <w:top w:val="none" w:sz="0" w:space="0" w:color="auto"/>
        <w:left w:val="none" w:sz="0" w:space="0" w:color="auto"/>
        <w:bottom w:val="none" w:sz="0" w:space="0" w:color="auto"/>
        <w:right w:val="none" w:sz="0" w:space="0" w:color="auto"/>
      </w:divBdr>
    </w:div>
    <w:div w:id="1124498360">
      <w:bodyDiv w:val="1"/>
      <w:marLeft w:val="0"/>
      <w:marRight w:val="0"/>
      <w:marTop w:val="0"/>
      <w:marBottom w:val="0"/>
      <w:divBdr>
        <w:top w:val="none" w:sz="0" w:space="0" w:color="auto"/>
        <w:left w:val="none" w:sz="0" w:space="0" w:color="auto"/>
        <w:bottom w:val="none" w:sz="0" w:space="0" w:color="auto"/>
        <w:right w:val="none" w:sz="0" w:space="0" w:color="auto"/>
      </w:divBdr>
    </w:div>
    <w:div w:id="1129203353">
      <w:bodyDiv w:val="1"/>
      <w:marLeft w:val="0"/>
      <w:marRight w:val="0"/>
      <w:marTop w:val="0"/>
      <w:marBottom w:val="0"/>
      <w:divBdr>
        <w:top w:val="none" w:sz="0" w:space="0" w:color="auto"/>
        <w:left w:val="none" w:sz="0" w:space="0" w:color="auto"/>
        <w:bottom w:val="none" w:sz="0" w:space="0" w:color="auto"/>
        <w:right w:val="none" w:sz="0" w:space="0" w:color="auto"/>
      </w:divBdr>
    </w:div>
    <w:div w:id="1135879374">
      <w:bodyDiv w:val="1"/>
      <w:marLeft w:val="0"/>
      <w:marRight w:val="0"/>
      <w:marTop w:val="0"/>
      <w:marBottom w:val="0"/>
      <w:divBdr>
        <w:top w:val="none" w:sz="0" w:space="0" w:color="auto"/>
        <w:left w:val="none" w:sz="0" w:space="0" w:color="auto"/>
        <w:bottom w:val="none" w:sz="0" w:space="0" w:color="auto"/>
        <w:right w:val="none" w:sz="0" w:space="0" w:color="auto"/>
      </w:divBdr>
    </w:div>
    <w:div w:id="1141575301">
      <w:bodyDiv w:val="1"/>
      <w:marLeft w:val="0"/>
      <w:marRight w:val="0"/>
      <w:marTop w:val="0"/>
      <w:marBottom w:val="0"/>
      <w:divBdr>
        <w:top w:val="none" w:sz="0" w:space="0" w:color="auto"/>
        <w:left w:val="none" w:sz="0" w:space="0" w:color="auto"/>
        <w:bottom w:val="none" w:sz="0" w:space="0" w:color="auto"/>
        <w:right w:val="none" w:sz="0" w:space="0" w:color="auto"/>
      </w:divBdr>
    </w:div>
    <w:div w:id="1153570879">
      <w:bodyDiv w:val="1"/>
      <w:marLeft w:val="0"/>
      <w:marRight w:val="0"/>
      <w:marTop w:val="0"/>
      <w:marBottom w:val="0"/>
      <w:divBdr>
        <w:top w:val="none" w:sz="0" w:space="0" w:color="auto"/>
        <w:left w:val="none" w:sz="0" w:space="0" w:color="auto"/>
        <w:bottom w:val="none" w:sz="0" w:space="0" w:color="auto"/>
        <w:right w:val="none" w:sz="0" w:space="0" w:color="auto"/>
      </w:divBdr>
    </w:div>
    <w:div w:id="1155413095">
      <w:bodyDiv w:val="1"/>
      <w:marLeft w:val="0"/>
      <w:marRight w:val="0"/>
      <w:marTop w:val="0"/>
      <w:marBottom w:val="0"/>
      <w:divBdr>
        <w:top w:val="none" w:sz="0" w:space="0" w:color="auto"/>
        <w:left w:val="none" w:sz="0" w:space="0" w:color="auto"/>
        <w:bottom w:val="none" w:sz="0" w:space="0" w:color="auto"/>
        <w:right w:val="none" w:sz="0" w:space="0" w:color="auto"/>
      </w:divBdr>
    </w:div>
    <w:div w:id="1157955832">
      <w:bodyDiv w:val="1"/>
      <w:marLeft w:val="0"/>
      <w:marRight w:val="0"/>
      <w:marTop w:val="0"/>
      <w:marBottom w:val="0"/>
      <w:divBdr>
        <w:top w:val="none" w:sz="0" w:space="0" w:color="auto"/>
        <w:left w:val="none" w:sz="0" w:space="0" w:color="auto"/>
        <w:bottom w:val="none" w:sz="0" w:space="0" w:color="auto"/>
        <w:right w:val="none" w:sz="0" w:space="0" w:color="auto"/>
      </w:divBdr>
    </w:div>
    <w:div w:id="1162700942">
      <w:bodyDiv w:val="1"/>
      <w:marLeft w:val="0"/>
      <w:marRight w:val="0"/>
      <w:marTop w:val="0"/>
      <w:marBottom w:val="0"/>
      <w:divBdr>
        <w:top w:val="none" w:sz="0" w:space="0" w:color="auto"/>
        <w:left w:val="none" w:sz="0" w:space="0" w:color="auto"/>
        <w:bottom w:val="none" w:sz="0" w:space="0" w:color="auto"/>
        <w:right w:val="none" w:sz="0" w:space="0" w:color="auto"/>
      </w:divBdr>
    </w:div>
    <w:div w:id="1166821828">
      <w:bodyDiv w:val="1"/>
      <w:marLeft w:val="0"/>
      <w:marRight w:val="0"/>
      <w:marTop w:val="0"/>
      <w:marBottom w:val="0"/>
      <w:divBdr>
        <w:top w:val="none" w:sz="0" w:space="0" w:color="auto"/>
        <w:left w:val="none" w:sz="0" w:space="0" w:color="auto"/>
        <w:bottom w:val="none" w:sz="0" w:space="0" w:color="auto"/>
        <w:right w:val="none" w:sz="0" w:space="0" w:color="auto"/>
      </w:divBdr>
    </w:div>
    <w:div w:id="1174416301">
      <w:bodyDiv w:val="1"/>
      <w:marLeft w:val="0"/>
      <w:marRight w:val="0"/>
      <w:marTop w:val="0"/>
      <w:marBottom w:val="0"/>
      <w:divBdr>
        <w:top w:val="none" w:sz="0" w:space="0" w:color="auto"/>
        <w:left w:val="none" w:sz="0" w:space="0" w:color="auto"/>
        <w:bottom w:val="none" w:sz="0" w:space="0" w:color="auto"/>
        <w:right w:val="none" w:sz="0" w:space="0" w:color="auto"/>
      </w:divBdr>
    </w:div>
    <w:div w:id="1175728592">
      <w:bodyDiv w:val="1"/>
      <w:marLeft w:val="0"/>
      <w:marRight w:val="0"/>
      <w:marTop w:val="0"/>
      <w:marBottom w:val="0"/>
      <w:divBdr>
        <w:top w:val="none" w:sz="0" w:space="0" w:color="auto"/>
        <w:left w:val="none" w:sz="0" w:space="0" w:color="auto"/>
        <w:bottom w:val="none" w:sz="0" w:space="0" w:color="auto"/>
        <w:right w:val="none" w:sz="0" w:space="0" w:color="auto"/>
      </w:divBdr>
    </w:div>
    <w:div w:id="1184243243">
      <w:bodyDiv w:val="1"/>
      <w:marLeft w:val="0"/>
      <w:marRight w:val="0"/>
      <w:marTop w:val="0"/>
      <w:marBottom w:val="0"/>
      <w:divBdr>
        <w:top w:val="none" w:sz="0" w:space="0" w:color="auto"/>
        <w:left w:val="none" w:sz="0" w:space="0" w:color="auto"/>
        <w:bottom w:val="none" w:sz="0" w:space="0" w:color="auto"/>
        <w:right w:val="none" w:sz="0" w:space="0" w:color="auto"/>
      </w:divBdr>
    </w:div>
    <w:div w:id="1188637857">
      <w:bodyDiv w:val="1"/>
      <w:marLeft w:val="0"/>
      <w:marRight w:val="0"/>
      <w:marTop w:val="0"/>
      <w:marBottom w:val="0"/>
      <w:divBdr>
        <w:top w:val="none" w:sz="0" w:space="0" w:color="auto"/>
        <w:left w:val="none" w:sz="0" w:space="0" w:color="auto"/>
        <w:bottom w:val="none" w:sz="0" w:space="0" w:color="auto"/>
        <w:right w:val="none" w:sz="0" w:space="0" w:color="auto"/>
      </w:divBdr>
    </w:div>
    <w:div w:id="1189760106">
      <w:bodyDiv w:val="1"/>
      <w:marLeft w:val="0"/>
      <w:marRight w:val="0"/>
      <w:marTop w:val="0"/>
      <w:marBottom w:val="0"/>
      <w:divBdr>
        <w:top w:val="none" w:sz="0" w:space="0" w:color="auto"/>
        <w:left w:val="none" w:sz="0" w:space="0" w:color="auto"/>
        <w:bottom w:val="none" w:sz="0" w:space="0" w:color="auto"/>
        <w:right w:val="none" w:sz="0" w:space="0" w:color="auto"/>
      </w:divBdr>
    </w:div>
    <w:div w:id="1193035371">
      <w:bodyDiv w:val="1"/>
      <w:marLeft w:val="0"/>
      <w:marRight w:val="0"/>
      <w:marTop w:val="0"/>
      <w:marBottom w:val="0"/>
      <w:divBdr>
        <w:top w:val="none" w:sz="0" w:space="0" w:color="auto"/>
        <w:left w:val="none" w:sz="0" w:space="0" w:color="auto"/>
        <w:bottom w:val="none" w:sz="0" w:space="0" w:color="auto"/>
        <w:right w:val="none" w:sz="0" w:space="0" w:color="auto"/>
      </w:divBdr>
    </w:div>
    <w:div w:id="1199970751">
      <w:bodyDiv w:val="1"/>
      <w:marLeft w:val="0"/>
      <w:marRight w:val="0"/>
      <w:marTop w:val="0"/>
      <w:marBottom w:val="0"/>
      <w:divBdr>
        <w:top w:val="none" w:sz="0" w:space="0" w:color="auto"/>
        <w:left w:val="none" w:sz="0" w:space="0" w:color="auto"/>
        <w:bottom w:val="none" w:sz="0" w:space="0" w:color="auto"/>
        <w:right w:val="none" w:sz="0" w:space="0" w:color="auto"/>
      </w:divBdr>
    </w:div>
    <w:div w:id="1213036365">
      <w:bodyDiv w:val="1"/>
      <w:marLeft w:val="0"/>
      <w:marRight w:val="0"/>
      <w:marTop w:val="0"/>
      <w:marBottom w:val="0"/>
      <w:divBdr>
        <w:top w:val="none" w:sz="0" w:space="0" w:color="auto"/>
        <w:left w:val="none" w:sz="0" w:space="0" w:color="auto"/>
        <w:bottom w:val="none" w:sz="0" w:space="0" w:color="auto"/>
        <w:right w:val="none" w:sz="0" w:space="0" w:color="auto"/>
      </w:divBdr>
    </w:div>
    <w:div w:id="1215048343">
      <w:bodyDiv w:val="1"/>
      <w:marLeft w:val="0"/>
      <w:marRight w:val="0"/>
      <w:marTop w:val="0"/>
      <w:marBottom w:val="0"/>
      <w:divBdr>
        <w:top w:val="none" w:sz="0" w:space="0" w:color="auto"/>
        <w:left w:val="none" w:sz="0" w:space="0" w:color="auto"/>
        <w:bottom w:val="none" w:sz="0" w:space="0" w:color="auto"/>
        <w:right w:val="none" w:sz="0" w:space="0" w:color="auto"/>
      </w:divBdr>
    </w:div>
    <w:div w:id="1215696205">
      <w:bodyDiv w:val="1"/>
      <w:marLeft w:val="0"/>
      <w:marRight w:val="0"/>
      <w:marTop w:val="0"/>
      <w:marBottom w:val="0"/>
      <w:divBdr>
        <w:top w:val="none" w:sz="0" w:space="0" w:color="auto"/>
        <w:left w:val="none" w:sz="0" w:space="0" w:color="auto"/>
        <w:bottom w:val="none" w:sz="0" w:space="0" w:color="auto"/>
        <w:right w:val="none" w:sz="0" w:space="0" w:color="auto"/>
      </w:divBdr>
    </w:div>
    <w:div w:id="1217668785">
      <w:bodyDiv w:val="1"/>
      <w:marLeft w:val="0"/>
      <w:marRight w:val="0"/>
      <w:marTop w:val="0"/>
      <w:marBottom w:val="0"/>
      <w:divBdr>
        <w:top w:val="none" w:sz="0" w:space="0" w:color="auto"/>
        <w:left w:val="none" w:sz="0" w:space="0" w:color="auto"/>
        <w:bottom w:val="none" w:sz="0" w:space="0" w:color="auto"/>
        <w:right w:val="none" w:sz="0" w:space="0" w:color="auto"/>
      </w:divBdr>
    </w:div>
    <w:div w:id="1227454891">
      <w:bodyDiv w:val="1"/>
      <w:marLeft w:val="0"/>
      <w:marRight w:val="0"/>
      <w:marTop w:val="0"/>
      <w:marBottom w:val="0"/>
      <w:divBdr>
        <w:top w:val="none" w:sz="0" w:space="0" w:color="auto"/>
        <w:left w:val="none" w:sz="0" w:space="0" w:color="auto"/>
        <w:bottom w:val="none" w:sz="0" w:space="0" w:color="auto"/>
        <w:right w:val="none" w:sz="0" w:space="0" w:color="auto"/>
      </w:divBdr>
    </w:div>
    <w:div w:id="1229002805">
      <w:bodyDiv w:val="1"/>
      <w:marLeft w:val="0"/>
      <w:marRight w:val="0"/>
      <w:marTop w:val="0"/>
      <w:marBottom w:val="0"/>
      <w:divBdr>
        <w:top w:val="none" w:sz="0" w:space="0" w:color="auto"/>
        <w:left w:val="none" w:sz="0" w:space="0" w:color="auto"/>
        <w:bottom w:val="none" w:sz="0" w:space="0" w:color="auto"/>
        <w:right w:val="none" w:sz="0" w:space="0" w:color="auto"/>
      </w:divBdr>
    </w:div>
    <w:div w:id="1230386693">
      <w:bodyDiv w:val="1"/>
      <w:marLeft w:val="0"/>
      <w:marRight w:val="0"/>
      <w:marTop w:val="0"/>
      <w:marBottom w:val="0"/>
      <w:divBdr>
        <w:top w:val="none" w:sz="0" w:space="0" w:color="auto"/>
        <w:left w:val="none" w:sz="0" w:space="0" w:color="auto"/>
        <w:bottom w:val="none" w:sz="0" w:space="0" w:color="auto"/>
        <w:right w:val="none" w:sz="0" w:space="0" w:color="auto"/>
      </w:divBdr>
    </w:div>
    <w:div w:id="1235166319">
      <w:bodyDiv w:val="1"/>
      <w:marLeft w:val="0"/>
      <w:marRight w:val="0"/>
      <w:marTop w:val="0"/>
      <w:marBottom w:val="0"/>
      <w:divBdr>
        <w:top w:val="none" w:sz="0" w:space="0" w:color="auto"/>
        <w:left w:val="none" w:sz="0" w:space="0" w:color="auto"/>
        <w:bottom w:val="none" w:sz="0" w:space="0" w:color="auto"/>
        <w:right w:val="none" w:sz="0" w:space="0" w:color="auto"/>
      </w:divBdr>
    </w:div>
    <w:div w:id="1243880093">
      <w:bodyDiv w:val="1"/>
      <w:marLeft w:val="0"/>
      <w:marRight w:val="0"/>
      <w:marTop w:val="0"/>
      <w:marBottom w:val="0"/>
      <w:divBdr>
        <w:top w:val="none" w:sz="0" w:space="0" w:color="auto"/>
        <w:left w:val="none" w:sz="0" w:space="0" w:color="auto"/>
        <w:bottom w:val="none" w:sz="0" w:space="0" w:color="auto"/>
        <w:right w:val="none" w:sz="0" w:space="0" w:color="auto"/>
      </w:divBdr>
    </w:div>
    <w:div w:id="1244099998">
      <w:bodyDiv w:val="1"/>
      <w:marLeft w:val="0"/>
      <w:marRight w:val="0"/>
      <w:marTop w:val="0"/>
      <w:marBottom w:val="0"/>
      <w:divBdr>
        <w:top w:val="none" w:sz="0" w:space="0" w:color="auto"/>
        <w:left w:val="none" w:sz="0" w:space="0" w:color="auto"/>
        <w:bottom w:val="none" w:sz="0" w:space="0" w:color="auto"/>
        <w:right w:val="none" w:sz="0" w:space="0" w:color="auto"/>
      </w:divBdr>
    </w:div>
    <w:div w:id="1252858251">
      <w:bodyDiv w:val="1"/>
      <w:marLeft w:val="0"/>
      <w:marRight w:val="0"/>
      <w:marTop w:val="0"/>
      <w:marBottom w:val="0"/>
      <w:divBdr>
        <w:top w:val="none" w:sz="0" w:space="0" w:color="auto"/>
        <w:left w:val="none" w:sz="0" w:space="0" w:color="auto"/>
        <w:bottom w:val="none" w:sz="0" w:space="0" w:color="auto"/>
        <w:right w:val="none" w:sz="0" w:space="0" w:color="auto"/>
      </w:divBdr>
    </w:div>
    <w:div w:id="1254974528">
      <w:bodyDiv w:val="1"/>
      <w:marLeft w:val="0"/>
      <w:marRight w:val="0"/>
      <w:marTop w:val="0"/>
      <w:marBottom w:val="0"/>
      <w:divBdr>
        <w:top w:val="none" w:sz="0" w:space="0" w:color="auto"/>
        <w:left w:val="none" w:sz="0" w:space="0" w:color="auto"/>
        <w:bottom w:val="none" w:sz="0" w:space="0" w:color="auto"/>
        <w:right w:val="none" w:sz="0" w:space="0" w:color="auto"/>
      </w:divBdr>
    </w:div>
    <w:div w:id="1254976784">
      <w:bodyDiv w:val="1"/>
      <w:marLeft w:val="0"/>
      <w:marRight w:val="0"/>
      <w:marTop w:val="0"/>
      <w:marBottom w:val="0"/>
      <w:divBdr>
        <w:top w:val="none" w:sz="0" w:space="0" w:color="auto"/>
        <w:left w:val="none" w:sz="0" w:space="0" w:color="auto"/>
        <w:bottom w:val="none" w:sz="0" w:space="0" w:color="auto"/>
        <w:right w:val="none" w:sz="0" w:space="0" w:color="auto"/>
      </w:divBdr>
    </w:div>
    <w:div w:id="1255436252">
      <w:bodyDiv w:val="1"/>
      <w:marLeft w:val="0"/>
      <w:marRight w:val="0"/>
      <w:marTop w:val="0"/>
      <w:marBottom w:val="0"/>
      <w:divBdr>
        <w:top w:val="none" w:sz="0" w:space="0" w:color="auto"/>
        <w:left w:val="none" w:sz="0" w:space="0" w:color="auto"/>
        <w:bottom w:val="none" w:sz="0" w:space="0" w:color="auto"/>
        <w:right w:val="none" w:sz="0" w:space="0" w:color="auto"/>
      </w:divBdr>
    </w:div>
    <w:div w:id="1256784913">
      <w:bodyDiv w:val="1"/>
      <w:marLeft w:val="0"/>
      <w:marRight w:val="0"/>
      <w:marTop w:val="0"/>
      <w:marBottom w:val="0"/>
      <w:divBdr>
        <w:top w:val="none" w:sz="0" w:space="0" w:color="auto"/>
        <w:left w:val="none" w:sz="0" w:space="0" w:color="auto"/>
        <w:bottom w:val="none" w:sz="0" w:space="0" w:color="auto"/>
        <w:right w:val="none" w:sz="0" w:space="0" w:color="auto"/>
      </w:divBdr>
    </w:div>
    <w:div w:id="1262225036">
      <w:bodyDiv w:val="1"/>
      <w:marLeft w:val="0"/>
      <w:marRight w:val="0"/>
      <w:marTop w:val="0"/>
      <w:marBottom w:val="0"/>
      <w:divBdr>
        <w:top w:val="none" w:sz="0" w:space="0" w:color="auto"/>
        <w:left w:val="none" w:sz="0" w:space="0" w:color="auto"/>
        <w:bottom w:val="none" w:sz="0" w:space="0" w:color="auto"/>
        <w:right w:val="none" w:sz="0" w:space="0" w:color="auto"/>
      </w:divBdr>
    </w:div>
    <w:div w:id="1264531862">
      <w:bodyDiv w:val="1"/>
      <w:marLeft w:val="0"/>
      <w:marRight w:val="0"/>
      <w:marTop w:val="0"/>
      <w:marBottom w:val="0"/>
      <w:divBdr>
        <w:top w:val="none" w:sz="0" w:space="0" w:color="auto"/>
        <w:left w:val="none" w:sz="0" w:space="0" w:color="auto"/>
        <w:bottom w:val="none" w:sz="0" w:space="0" w:color="auto"/>
        <w:right w:val="none" w:sz="0" w:space="0" w:color="auto"/>
      </w:divBdr>
    </w:div>
    <w:div w:id="1267274533">
      <w:bodyDiv w:val="1"/>
      <w:marLeft w:val="0"/>
      <w:marRight w:val="0"/>
      <w:marTop w:val="0"/>
      <w:marBottom w:val="0"/>
      <w:divBdr>
        <w:top w:val="none" w:sz="0" w:space="0" w:color="auto"/>
        <w:left w:val="none" w:sz="0" w:space="0" w:color="auto"/>
        <w:bottom w:val="none" w:sz="0" w:space="0" w:color="auto"/>
        <w:right w:val="none" w:sz="0" w:space="0" w:color="auto"/>
      </w:divBdr>
    </w:div>
    <w:div w:id="1273054727">
      <w:bodyDiv w:val="1"/>
      <w:marLeft w:val="0"/>
      <w:marRight w:val="0"/>
      <w:marTop w:val="0"/>
      <w:marBottom w:val="0"/>
      <w:divBdr>
        <w:top w:val="none" w:sz="0" w:space="0" w:color="auto"/>
        <w:left w:val="none" w:sz="0" w:space="0" w:color="auto"/>
        <w:bottom w:val="none" w:sz="0" w:space="0" w:color="auto"/>
        <w:right w:val="none" w:sz="0" w:space="0" w:color="auto"/>
      </w:divBdr>
    </w:div>
    <w:div w:id="1277250950">
      <w:bodyDiv w:val="1"/>
      <w:marLeft w:val="0"/>
      <w:marRight w:val="0"/>
      <w:marTop w:val="0"/>
      <w:marBottom w:val="0"/>
      <w:divBdr>
        <w:top w:val="none" w:sz="0" w:space="0" w:color="auto"/>
        <w:left w:val="none" w:sz="0" w:space="0" w:color="auto"/>
        <w:bottom w:val="none" w:sz="0" w:space="0" w:color="auto"/>
        <w:right w:val="none" w:sz="0" w:space="0" w:color="auto"/>
      </w:divBdr>
    </w:div>
    <w:div w:id="1279096923">
      <w:bodyDiv w:val="1"/>
      <w:marLeft w:val="0"/>
      <w:marRight w:val="0"/>
      <w:marTop w:val="0"/>
      <w:marBottom w:val="0"/>
      <w:divBdr>
        <w:top w:val="none" w:sz="0" w:space="0" w:color="auto"/>
        <w:left w:val="none" w:sz="0" w:space="0" w:color="auto"/>
        <w:bottom w:val="none" w:sz="0" w:space="0" w:color="auto"/>
        <w:right w:val="none" w:sz="0" w:space="0" w:color="auto"/>
      </w:divBdr>
    </w:div>
    <w:div w:id="1314530594">
      <w:bodyDiv w:val="1"/>
      <w:marLeft w:val="0"/>
      <w:marRight w:val="0"/>
      <w:marTop w:val="0"/>
      <w:marBottom w:val="0"/>
      <w:divBdr>
        <w:top w:val="none" w:sz="0" w:space="0" w:color="auto"/>
        <w:left w:val="none" w:sz="0" w:space="0" w:color="auto"/>
        <w:bottom w:val="none" w:sz="0" w:space="0" w:color="auto"/>
        <w:right w:val="none" w:sz="0" w:space="0" w:color="auto"/>
      </w:divBdr>
    </w:div>
    <w:div w:id="1318921263">
      <w:bodyDiv w:val="1"/>
      <w:marLeft w:val="0"/>
      <w:marRight w:val="0"/>
      <w:marTop w:val="0"/>
      <w:marBottom w:val="0"/>
      <w:divBdr>
        <w:top w:val="none" w:sz="0" w:space="0" w:color="auto"/>
        <w:left w:val="none" w:sz="0" w:space="0" w:color="auto"/>
        <w:bottom w:val="none" w:sz="0" w:space="0" w:color="auto"/>
        <w:right w:val="none" w:sz="0" w:space="0" w:color="auto"/>
      </w:divBdr>
    </w:div>
    <w:div w:id="1325628370">
      <w:bodyDiv w:val="1"/>
      <w:marLeft w:val="0"/>
      <w:marRight w:val="0"/>
      <w:marTop w:val="0"/>
      <w:marBottom w:val="0"/>
      <w:divBdr>
        <w:top w:val="none" w:sz="0" w:space="0" w:color="auto"/>
        <w:left w:val="none" w:sz="0" w:space="0" w:color="auto"/>
        <w:bottom w:val="none" w:sz="0" w:space="0" w:color="auto"/>
        <w:right w:val="none" w:sz="0" w:space="0" w:color="auto"/>
      </w:divBdr>
    </w:div>
    <w:div w:id="1329333855">
      <w:bodyDiv w:val="1"/>
      <w:marLeft w:val="0"/>
      <w:marRight w:val="0"/>
      <w:marTop w:val="0"/>
      <w:marBottom w:val="0"/>
      <w:divBdr>
        <w:top w:val="none" w:sz="0" w:space="0" w:color="auto"/>
        <w:left w:val="none" w:sz="0" w:space="0" w:color="auto"/>
        <w:bottom w:val="none" w:sz="0" w:space="0" w:color="auto"/>
        <w:right w:val="none" w:sz="0" w:space="0" w:color="auto"/>
      </w:divBdr>
    </w:div>
    <w:div w:id="1332223377">
      <w:bodyDiv w:val="1"/>
      <w:marLeft w:val="0"/>
      <w:marRight w:val="0"/>
      <w:marTop w:val="0"/>
      <w:marBottom w:val="0"/>
      <w:divBdr>
        <w:top w:val="none" w:sz="0" w:space="0" w:color="auto"/>
        <w:left w:val="none" w:sz="0" w:space="0" w:color="auto"/>
        <w:bottom w:val="none" w:sz="0" w:space="0" w:color="auto"/>
        <w:right w:val="none" w:sz="0" w:space="0" w:color="auto"/>
      </w:divBdr>
    </w:div>
    <w:div w:id="1337343052">
      <w:bodyDiv w:val="1"/>
      <w:marLeft w:val="0"/>
      <w:marRight w:val="0"/>
      <w:marTop w:val="0"/>
      <w:marBottom w:val="0"/>
      <w:divBdr>
        <w:top w:val="none" w:sz="0" w:space="0" w:color="auto"/>
        <w:left w:val="none" w:sz="0" w:space="0" w:color="auto"/>
        <w:bottom w:val="none" w:sz="0" w:space="0" w:color="auto"/>
        <w:right w:val="none" w:sz="0" w:space="0" w:color="auto"/>
      </w:divBdr>
    </w:div>
    <w:div w:id="1340036381">
      <w:bodyDiv w:val="1"/>
      <w:marLeft w:val="0"/>
      <w:marRight w:val="0"/>
      <w:marTop w:val="0"/>
      <w:marBottom w:val="0"/>
      <w:divBdr>
        <w:top w:val="none" w:sz="0" w:space="0" w:color="auto"/>
        <w:left w:val="none" w:sz="0" w:space="0" w:color="auto"/>
        <w:bottom w:val="none" w:sz="0" w:space="0" w:color="auto"/>
        <w:right w:val="none" w:sz="0" w:space="0" w:color="auto"/>
      </w:divBdr>
    </w:div>
    <w:div w:id="1340159159">
      <w:bodyDiv w:val="1"/>
      <w:marLeft w:val="0"/>
      <w:marRight w:val="0"/>
      <w:marTop w:val="0"/>
      <w:marBottom w:val="0"/>
      <w:divBdr>
        <w:top w:val="none" w:sz="0" w:space="0" w:color="auto"/>
        <w:left w:val="none" w:sz="0" w:space="0" w:color="auto"/>
        <w:bottom w:val="none" w:sz="0" w:space="0" w:color="auto"/>
        <w:right w:val="none" w:sz="0" w:space="0" w:color="auto"/>
      </w:divBdr>
    </w:div>
    <w:div w:id="1342665301">
      <w:bodyDiv w:val="1"/>
      <w:marLeft w:val="0"/>
      <w:marRight w:val="0"/>
      <w:marTop w:val="0"/>
      <w:marBottom w:val="0"/>
      <w:divBdr>
        <w:top w:val="none" w:sz="0" w:space="0" w:color="auto"/>
        <w:left w:val="none" w:sz="0" w:space="0" w:color="auto"/>
        <w:bottom w:val="none" w:sz="0" w:space="0" w:color="auto"/>
        <w:right w:val="none" w:sz="0" w:space="0" w:color="auto"/>
      </w:divBdr>
    </w:div>
    <w:div w:id="1345783868">
      <w:bodyDiv w:val="1"/>
      <w:marLeft w:val="0"/>
      <w:marRight w:val="0"/>
      <w:marTop w:val="0"/>
      <w:marBottom w:val="0"/>
      <w:divBdr>
        <w:top w:val="none" w:sz="0" w:space="0" w:color="auto"/>
        <w:left w:val="none" w:sz="0" w:space="0" w:color="auto"/>
        <w:bottom w:val="none" w:sz="0" w:space="0" w:color="auto"/>
        <w:right w:val="none" w:sz="0" w:space="0" w:color="auto"/>
      </w:divBdr>
    </w:div>
    <w:div w:id="1350062681">
      <w:bodyDiv w:val="1"/>
      <w:marLeft w:val="0"/>
      <w:marRight w:val="0"/>
      <w:marTop w:val="0"/>
      <w:marBottom w:val="0"/>
      <w:divBdr>
        <w:top w:val="none" w:sz="0" w:space="0" w:color="auto"/>
        <w:left w:val="none" w:sz="0" w:space="0" w:color="auto"/>
        <w:bottom w:val="none" w:sz="0" w:space="0" w:color="auto"/>
        <w:right w:val="none" w:sz="0" w:space="0" w:color="auto"/>
      </w:divBdr>
    </w:div>
    <w:div w:id="1366905104">
      <w:bodyDiv w:val="1"/>
      <w:marLeft w:val="0"/>
      <w:marRight w:val="0"/>
      <w:marTop w:val="0"/>
      <w:marBottom w:val="0"/>
      <w:divBdr>
        <w:top w:val="none" w:sz="0" w:space="0" w:color="auto"/>
        <w:left w:val="none" w:sz="0" w:space="0" w:color="auto"/>
        <w:bottom w:val="none" w:sz="0" w:space="0" w:color="auto"/>
        <w:right w:val="none" w:sz="0" w:space="0" w:color="auto"/>
      </w:divBdr>
    </w:div>
    <w:div w:id="1386220802">
      <w:bodyDiv w:val="1"/>
      <w:marLeft w:val="0"/>
      <w:marRight w:val="0"/>
      <w:marTop w:val="0"/>
      <w:marBottom w:val="0"/>
      <w:divBdr>
        <w:top w:val="none" w:sz="0" w:space="0" w:color="auto"/>
        <w:left w:val="none" w:sz="0" w:space="0" w:color="auto"/>
        <w:bottom w:val="none" w:sz="0" w:space="0" w:color="auto"/>
        <w:right w:val="none" w:sz="0" w:space="0" w:color="auto"/>
      </w:divBdr>
    </w:div>
    <w:div w:id="1386643365">
      <w:bodyDiv w:val="1"/>
      <w:marLeft w:val="0"/>
      <w:marRight w:val="0"/>
      <w:marTop w:val="0"/>
      <w:marBottom w:val="0"/>
      <w:divBdr>
        <w:top w:val="none" w:sz="0" w:space="0" w:color="auto"/>
        <w:left w:val="none" w:sz="0" w:space="0" w:color="auto"/>
        <w:bottom w:val="none" w:sz="0" w:space="0" w:color="auto"/>
        <w:right w:val="none" w:sz="0" w:space="0" w:color="auto"/>
      </w:divBdr>
    </w:div>
    <w:div w:id="1388839204">
      <w:bodyDiv w:val="1"/>
      <w:marLeft w:val="0"/>
      <w:marRight w:val="0"/>
      <w:marTop w:val="0"/>
      <w:marBottom w:val="0"/>
      <w:divBdr>
        <w:top w:val="none" w:sz="0" w:space="0" w:color="auto"/>
        <w:left w:val="none" w:sz="0" w:space="0" w:color="auto"/>
        <w:bottom w:val="none" w:sz="0" w:space="0" w:color="auto"/>
        <w:right w:val="none" w:sz="0" w:space="0" w:color="auto"/>
      </w:divBdr>
    </w:div>
    <w:div w:id="1388843028">
      <w:bodyDiv w:val="1"/>
      <w:marLeft w:val="0"/>
      <w:marRight w:val="0"/>
      <w:marTop w:val="0"/>
      <w:marBottom w:val="0"/>
      <w:divBdr>
        <w:top w:val="none" w:sz="0" w:space="0" w:color="auto"/>
        <w:left w:val="none" w:sz="0" w:space="0" w:color="auto"/>
        <w:bottom w:val="none" w:sz="0" w:space="0" w:color="auto"/>
        <w:right w:val="none" w:sz="0" w:space="0" w:color="auto"/>
      </w:divBdr>
    </w:div>
    <w:div w:id="1392651679">
      <w:bodyDiv w:val="1"/>
      <w:marLeft w:val="0"/>
      <w:marRight w:val="0"/>
      <w:marTop w:val="0"/>
      <w:marBottom w:val="0"/>
      <w:divBdr>
        <w:top w:val="none" w:sz="0" w:space="0" w:color="auto"/>
        <w:left w:val="none" w:sz="0" w:space="0" w:color="auto"/>
        <w:bottom w:val="none" w:sz="0" w:space="0" w:color="auto"/>
        <w:right w:val="none" w:sz="0" w:space="0" w:color="auto"/>
      </w:divBdr>
    </w:div>
    <w:div w:id="1397586594">
      <w:bodyDiv w:val="1"/>
      <w:marLeft w:val="0"/>
      <w:marRight w:val="0"/>
      <w:marTop w:val="0"/>
      <w:marBottom w:val="0"/>
      <w:divBdr>
        <w:top w:val="none" w:sz="0" w:space="0" w:color="auto"/>
        <w:left w:val="none" w:sz="0" w:space="0" w:color="auto"/>
        <w:bottom w:val="none" w:sz="0" w:space="0" w:color="auto"/>
        <w:right w:val="none" w:sz="0" w:space="0" w:color="auto"/>
      </w:divBdr>
    </w:div>
    <w:div w:id="1400521917">
      <w:bodyDiv w:val="1"/>
      <w:marLeft w:val="0"/>
      <w:marRight w:val="0"/>
      <w:marTop w:val="0"/>
      <w:marBottom w:val="0"/>
      <w:divBdr>
        <w:top w:val="none" w:sz="0" w:space="0" w:color="auto"/>
        <w:left w:val="none" w:sz="0" w:space="0" w:color="auto"/>
        <w:bottom w:val="none" w:sz="0" w:space="0" w:color="auto"/>
        <w:right w:val="none" w:sz="0" w:space="0" w:color="auto"/>
      </w:divBdr>
    </w:div>
    <w:div w:id="1411581143">
      <w:bodyDiv w:val="1"/>
      <w:marLeft w:val="0"/>
      <w:marRight w:val="0"/>
      <w:marTop w:val="0"/>
      <w:marBottom w:val="0"/>
      <w:divBdr>
        <w:top w:val="none" w:sz="0" w:space="0" w:color="auto"/>
        <w:left w:val="none" w:sz="0" w:space="0" w:color="auto"/>
        <w:bottom w:val="none" w:sz="0" w:space="0" w:color="auto"/>
        <w:right w:val="none" w:sz="0" w:space="0" w:color="auto"/>
      </w:divBdr>
    </w:div>
    <w:div w:id="1412659204">
      <w:bodyDiv w:val="1"/>
      <w:marLeft w:val="0"/>
      <w:marRight w:val="0"/>
      <w:marTop w:val="0"/>
      <w:marBottom w:val="0"/>
      <w:divBdr>
        <w:top w:val="none" w:sz="0" w:space="0" w:color="auto"/>
        <w:left w:val="none" w:sz="0" w:space="0" w:color="auto"/>
        <w:bottom w:val="none" w:sz="0" w:space="0" w:color="auto"/>
        <w:right w:val="none" w:sz="0" w:space="0" w:color="auto"/>
      </w:divBdr>
    </w:div>
    <w:div w:id="1418749777">
      <w:bodyDiv w:val="1"/>
      <w:marLeft w:val="0"/>
      <w:marRight w:val="0"/>
      <w:marTop w:val="0"/>
      <w:marBottom w:val="0"/>
      <w:divBdr>
        <w:top w:val="none" w:sz="0" w:space="0" w:color="auto"/>
        <w:left w:val="none" w:sz="0" w:space="0" w:color="auto"/>
        <w:bottom w:val="none" w:sz="0" w:space="0" w:color="auto"/>
        <w:right w:val="none" w:sz="0" w:space="0" w:color="auto"/>
      </w:divBdr>
    </w:div>
    <w:div w:id="1422600891">
      <w:bodyDiv w:val="1"/>
      <w:marLeft w:val="0"/>
      <w:marRight w:val="0"/>
      <w:marTop w:val="0"/>
      <w:marBottom w:val="0"/>
      <w:divBdr>
        <w:top w:val="none" w:sz="0" w:space="0" w:color="auto"/>
        <w:left w:val="none" w:sz="0" w:space="0" w:color="auto"/>
        <w:bottom w:val="none" w:sz="0" w:space="0" w:color="auto"/>
        <w:right w:val="none" w:sz="0" w:space="0" w:color="auto"/>
      </w:divBdr>
    </w:div>
    <w:div w:id="1425491924">
      <w:bodyDiv w:val="1"/>
      <w:marLeft w:val="0"/>
      <w:marRight w:val="0"/>
      <w:marTop w:val="0"/>
      <w:marBottom w:val="0"/>
      <w:divBdr>
        <w:top w:val="none" w:sz="0" w:space="0" w:color="auto"/>
        <w:left w:val="none" w:sz="0" w:space="0" w:color="auto"/>
        <w:bottom w:val="none" w:sz="0" w:space="0" w:color="auto"/>
        <w:right w:val="none" w:sz="0" w:space="0" w:color="auto"/>
      </w:divBdr>
    </w:div>
    <w:div w:id="1432119529">
      <w:bodyDiv w:val="1"/>
      <w:marLeft w:val="0"/>
      <w:marRight w:val="0"/>
      <w:marTop w:val="0"/>
      <w:marBottom w:val="0"/>
      <w:divBdr>
        <w:top w:val="none" w:sz="0" w:space="0" w:color="auto"/>
        <w:left w:val="none" w:sz="0" w:space="0" w:color="auto"/>
        <w:bottom w:val="none" w:sz="0" w:space="0" w:color="auto"/>
        <w:right w:val="none" w:sz="0" w:space="0" w:color="auto"/>
      </w:divBdr>
    </w:div>
    <w:div w:id="1435520376">
      <w:bodyDiv w:val="1"/>
      <w:marLeft w:val="0"/>
      <w:marRight w:val="0"/>
      <w:marTop w:val="0"/>
      <w:marBottom w:val="0"/>
      <w:divBdr>
        <w:top w:val="none" w:sz="0" w:space="0" w:color="auto"/>
        <w:left w:val="none" w:sz="0" w:space="0" w:color="auto"/>
        <w:bottom w:val="none" w:sz="0" w:space="0" w:color="auto"/>
        <w:right w:val="none" w:sz="0" w:space="0" w:color="auto"/>
      </w:divBdr>
    </w:div>
    <w:div w:id="1446342615">
      <w:bodyDiv w:val="1"/>
      <w:marLeft w:val="0"/>
      <w:marRight w:val="0"/>
      <w:marTop w:val="0"/>
      <w:marBottom w:val="0"/>
      <w:divBdr>
        <w:top w:val="none" w:sz="0" w:space="0" w:color="auto"/>
        <w:left w:val="none" w:sz="0" w:space="0" w:color="auto"/>
        <w:bottom w:val="none" w:sz="0" w:space="0" w:color="auto"/>
        <w:right w:val="none" w:sz="0" w:space="0" w:color="auto"/>
      </w:divBdr>
    </w:div>
    <w:div w:id="1451558784">
      <w:bodyDiv w:val="1"/>
      <w:marLeft w:val="0"/>
      <w:marRight w:val="0"/>
      <w:marTop w:val="0"/>
      <w:marBottom w:val="0"/>
      <w:divBdr>
        <w:top w:val="none" w:sz="0" w:space="0" w:color="auto"/>
        <w:left w:val="none" w:sz="0" w:space="0" w:color="auto"/>
        <w:bottom w:val="none" w:sz="0" w:space="0" w:color="auto"/>
        <w:right w:val="none" w:sz="0" w:space="0" w:color="auto"/>
      </w:divBdr>
    </w:div>
    <w:div w:id="1454053199">
      <w:bodyDiv w:val="1"/>
      <w:marLeft w:val="0"/>
      <w:marRight w:val="0"/>
      <w:marTop w:val="0"/>
      <w:marBottom w:val="0"/>
      <w:divBdr>
        <w:top w:val="none" w:sz="0" w:space="0" w:color="auto"/>
        <w:left w:val="none" w:sz="0" w:space="0" w:color="auto"/>
        <w:bottom w:val="none" w:sz="0" w:space="0" w:color="auto"/>
        <w:right w:val="none" w:sz="0" w:space="0" w:color="auto"/>
      </w:divBdr>
    </w:div>
    <w:div w:id="1457330926">
      <w:bodyDiv w:val="1"/>
      <w:marLeft w:val="0"/>
      <w:marRight w:val="0"/>
      <w:marTop w:val="0"/>
      <w:marBottom w:val="0"/>
      <w:divBdr>
        <w:top w:val="none" w:sz="0" w:space="0" w:color="auto"/>
        <w:left w:val="none" w:sz="0" w:space="0" w:color="auto"/>
        <w:bottom w:val="none" w:sz="0" w:space="0" w:color="auto"/>
        <w:right w:val="none" w:sz="0" w:space="0" w:color="auto"/>
      </w:divBdr>
    </w:div>
    <w:div w:id="1462965501">
      <w:bodyDiv w:val="1"/>
      <w:marLeft w:val="0"/>
      <w:marRight w:val="0"/>
      <w:marTop w:val="0"/>
      <w:marBottom w:val="0"/>
      <w:divBdr>
        <w:top w:val="none" w:sz="0" w:space="0" w:color="auto"/>
        <w:left w:val="none" w:sz="0" w:space="0" w:color="auto"/>
        <w:bottom w:val="none" w:sz="0" w:space="0" w:color="auto"/>
        <w:right w:val="none" w:sz="0" w:space="0" w:color="auto"/>
      </w:divBdr>
    </w:div>
    <w:div w:id="1483424926">
      <w:bodyDiv w:val="1"/>
      <w:marLeft w:val="0"/>
      <w:marRight w:val="0"/>
      <w:marTop w:val="0"/>
      <w:marBottom w:val="0"/>
      <w:divBdr>
        <w:top w:val="none" w:sz="0" w:space="0" w:color="auto"/>
        <w:left w:val="none" w:sz="0" w:space="0" w:color="auto"/>
        <w:bottom w:val="none" w:sz="0" w:space="0" w:color="auto"/>
        <w:right w:val="none" w:sz="0" w:space="0" w:color="auto"/>
      </w:divBdr>
    </w:div>
    <w:div w:id="1484662034">
      <w:bodyDiv w:val="1"/>
      <w:marLeft w:val="0"/>
      <w:marRight w:val="0"/>
      <w:marTop w:val="0"/>
      <w:marBottom w:val="0"/>
      <w:divBdr>
        <w:top w:val="none" w:sz="0" w:space="0" w:color="auto"/>
        <w:left w:val="none" w:sz="0" w:space="0" w:color="auto"/>
        <w:bottom w:val="none" w:sz="0" w:space="0" w:color="auto"/>
        <w:right w:val="none" w:sz="0" w:space="0" w:color="auto"/>
      </w:divBdr>
    </w:div>
    <w:div w:id="1520581380">
      <w:bodyDiv w:val="1"/>
      <w:marLeft w:val="0"/>
      <w:marRight w:val="0"/>
      <w:marTop w:val="0"/>
      <w:marBottom w:val="0"/>
      <w:divBdr>
        <w:top w:val="none" w:sz="0" w:space="0" w:color="auto"/>
        <w:left w:val="none" w:sz="0" w:space="0" w:color="auto"/>
        <w:bottom w:val="none" w:sz="0" w:space="0" w:color="auto"/>
        <w:right w:val="none" w:sz="0" w:space="0" w:color="auto"/>
      </w:divBdr>
    </w:div>
    <w:div w:id="1522280382">
      <w:bodyDiv w:val="1"/>
      <w:marLeft w:val="0"/>
      <w:marRight w:val="0"/>
      <w:marTop w:val="0"/>
      <w:marBottom w:val="0"/>
      <w:divBdr>
        <w:top w:val="none" w:sz="0" w:space="0" w:color="auto"/>
        <w:left w:val="none" w:sz="0" w:space="0" w:color="auto"/>
        <w:bottom w:val="none" w:sz="0" w:space="0" w:color="auto"/>
        <w:right w:val="none" w:sz="0" w:space="0" w:color="auto"/>
      </w:divBdr>
    </w:div>
    <w:div w:id="1524439826">
      <w:bodyDiv w:val="1"/>
      <w:marLeft w:val="0"/>
      <w:marRight w:val="0"/>
      <w:marTop w:val="0"/>
      <w:marBottom w:val="0"/>
      <w:divBdr>
        <w:top w:val="none" w:sz="0" w:space="0" w:color="auto"/>
        <w:left w:val="none" w:sz="0" w:space="0" w:color="auto"/>
        <w:bottom w:val="none" w:sz="0" w:space="0" w:color="auto"/>
        <w:right w:val="none" w:sz="0" w:space="0" w:color="auto"/>
      </w:divBdr>
    </w:div>
    <w:div w:id="1525905460">
      <w:bodyDiv w:val="1"/>
      <w:marLeft w:val="0"/>
      <w:marRight w:val="0"/>
      <w:marTop w:val="0"/>
      <w:marBottom w:val="0"/>
      <w:divBdr>
        <w:top w:val="none" w:sz="0" w:space="0" w:color="auto"/>
        <w:left w:val="none" w:sz="0" w:space="0" w:color="auto"/>
        <w:bottom w:val="none" w:sz="0" w:space="0" w:color="auto"/>
        <w:right w:val="none" w:sz="0" w:space="0" w:color="auto"/>
      </w:divBdr>
    </w:div>
    <w:div w:id="1526208622">
      <w:bodyDiv w:val="1"/>
      <w:marLeft w:val="0"/>
      <w:marRight w:val="0"/>
      <w:marTop w:val="0"/>
      <w:marBottom w:val="0"/>
      <w:divBdr>
        <w:top w:val="none" w:sz="0" w:space="0" w:color="auto"/>
        <w:left w:val="none" w:sz="0" w:space="0" w:color="auto"/>
        <w:bottom w:val="none" w:sz="0" w:space="0" w:color="auto"/>
        <w:right w:val="none" w:sz="0" w:space="0" w:color="auto"/>
      </w:divBdr>
    </w:div>
    <w:div w:id="1526360325">
      <w:bodyDiv w:val="1"/>
      <w:marLeft w:val="0"/>
      <w:marRight w:val="0"/>
      <w:marTop w:val="0"/>
      <w:marBottom w:val="0"/>
      <w:divBdr>
        <w:top w:val="none" w:sz="0" w:space="0" w:color="auto"/>
        <w:left w:val="none" w:sz="0" w:space="0" w:color="auto"/>
        <w:bottom w:val="none" w:sz="0" w:space="0" w:color="auto"/>
        <w:right w:val="none" w:sz="0" w:space="0" w:color="auto"/>
      </w:divBdr>
    </w:div>
    <w:div w:id="1529099216">
      <w:bodyDiv w:val="1"/>
      <w:marLeft w:val="0"/>
      <w:marRight w:val="0"/>
      <w:marTop w:val="0"/>
      <w:marBottom w:val="0"/>
      <w:divBdr>
        <w:top w:val="none" w:sz="0" w:space="0" w:color="auto"/>
        <w:left w:val="none" w:sz="0" w:space="0" w:color="auto"/>
        <w:bottom w:val="none" w:sz="0" w:space="0" w:color="auto"/>
        <w:right w:val="none" w:sz="0" w:space="0" w:color="auto"/>
      </w:divBdr>
    </w:div>
    <w:div w:id="1529678408">
      <w:bodyDiv w:val="1"/>
      <w:marLeft w:val="0"/>
      <w:marRight w:val="0"/>
      <w:marTop w:val="0"/>
      <w:marBottom w:val="0"/>
      <w:divBdr>
        <w:top w:val="none" w:sz="0" w:space="0" w:color="auto"/>
        <w:left w:val="none" w:sz="0" w:space="0" w:color="auto"/>
        <w:bottom w:val="none" w:sz="0" w:space="0" w:color="auto"/>
        <w:right w:val="none" w:sz="0" w:space="0" w:color="auto"/>
      </w:divBdr>
    </w:div>
    <w:div w:id="1530605586">
      <w:bodyDiv w:val="1"/>
      <w:marLeft w:val="0"/>
      <w:marRight w:val="0"/>
      <w:marTop w:val="0"/>
      <w:marBottom w:val="0"/>
      <w:divBdr>
        <w:top w:val="none" w:sz="0" w:space="0" w:color="auto"/>
        <w:left w:val="none" w:sz="0" w:space="0" w:color="auto"/>
        <w:bottom w:val="none" w:sz="0" w:space="0" w:color="auto"/>
        <w:right w:val="none" w:sz="0" w:space="0" w:color="auto"/>
      </w:divBdr>
    </w:div>
    <w:div w:id="1531917671">
      <w:bodyDiv w:val="1"/>
      <w:marLeft w:val="0"/>
      <w:marRight w:val="0"/>
      <w:marTop w:val="0"/>
      <w:marBottom w:val="0"/>
      <w:divBdr>
        <w:top w:val="none" w:sz="0" w:space="0" w:color="auto"/>
        <w:left w:val="none" w:sz="0" w:space="0" w:color="auto"/>
        <w:bottom w:val="none" w:sz="0" w:space="0" w:color="auto"/>
        <w:right w:val="none" w:sz="0" w:space="0" w:color="auto"/>
      </w:divBdr>
    </w:div>
    <w:div w:id="1536889663">
      <w:bodyDiv w:val="1"/>
      <w:marLeft w:val="0"/>
      <w:marRight w:val="0"/>
      <w:marTop w:val="0"/>
      <w:marBottom w:val="0"/>
      <w:divBdr>
        <w:top w:val="none" w:sz="0" w:space="0" w:color="auto"/>
        <w:left w:val="none" w:sz="0" w:space="0" w:color="auto"/>
        <w:bottom w:val="none" w:sz="0" w:space="0" w:color="auto"/>
        <w:right w:val="none" w:sz="0" w:space="0" w:color="auto"/>
      </w:divBdr>
    </w:div>
    <w:div w:id="1546018373">
      <w:bodyDiv w:val="1"/>
      <w:marLeft w:val="0"/>
      <w:marRight w:val="0"/>
      <w:marTop w:val="0"/>
      <w:marBottom w:val="0"/>
      <w:divBdr>
        <w:top w:val="none" w:sz="0" w:space="0" w:color="auto"/>
        <w:left w:val="none" w:sz="0" w:space="0" w:color="auto"/>
        <w:bottom w:val="none" w:sz="0" w:space="0" w:color="auto"/>
        <w:right w:val="none" w:sz="0" w:space="0" w:color="auto"/>
      </w:divBdr>
    </w:div>
    <w:div w:id="1546679900">
      <w:bodyDiv w:val="1"/>
      <w:marLeft w:val="0"/>
      <w:marRight w:val="0"/>
      <w:marTop w:val="0"/>
      <w:marBottom w:val="0"/>
      <w:divBdr>
        <w:top w:val="none" w:sz="0" w:space="0" w:color="auto"/>
        <w:left w:val="none" w:sz="0" w:space="0" w:color="auto"/>
        <w:bottom w:val="none" w:sz="0" w:space="0" w:color="auto"/>
        <w:right w:val="none" w:sz="0" w:space="0" w:color="auto"/>
      </w:divBdr>
    </w:div>
    <w:div w:id="1548105297">
      <w:bodyDiv w:val="1"/>
      <w:marLeft w:val="0"/>
      <w:marRight w:val="0"/>
      <w:marTop w:val="0"/>
      <w:marBottom w:val="0"/>
      <w:divBdr>
        <w:top w:val="none" w:sz="0" w:space="0" w:color="auto"/>
        <w:left w:val="none" w:sz="0" w:space="0" w:color="auto"/>
        <w:bottom w:val="none" w:sz="0" w:space="0" w:color="auto"/>
        <w:right w:val="none" w:sz="0" w:space="0" w:color="auto"/>
      </w:divBdr>
    </w:div>
    <w:div w:id="1560939229">
      <w:bodyDiv w:val="1"/>
      <w:marLeft w:val="0"/>
      <w:marRight w:val="0"/>
      <w:marTop w:val="0"/>
      <w:marBottom w:val="0"/>
      <w:divBdr>
        <w:top w:val="none" w:sz="0" w:space="0" w:color="auto"/>
        <w:left w:val="none" w:sz="0" w:space="0" w:color="auto"/>
        <w:bottom w:val="none" w:sz="0" w:space="0" w:color="auto"/>
        <w:right w:val="none" w:sz="0" w:space="0" w:color="auto"/>
      </w:divBdr>
    </w:div>
    <w:div w:id="1565680072">
      <w:bodyDiv w:val="1"/>
      <w:marLeft w:val="0"/>
      <w:marRight w:val="0"/>
      <w:marTop w:val="0"/>
      <w:marBottom w:val="0"/>
      <w:divBdr>
        <w:top w:val="none" w:sz="0" w:space="0" w:color="auto"/>
        <w:left w:val="none" w:sz="0" w:space="0" w:color="auto"/>
        <w:bottom w:val="none" w:sz="0" w:space="0" w:color="auto"/>
        <w:right w:val="none" w:sz="0" w:space="0" w:color="auto"/>
      </w:divBdr>
    </w:div>
    <w:div w:id="1571188888">
      <w:bodyDiv w:val="1"/>
      <w:marLeft w:val="0"/>
      <w:marRight w:val="0"/>
      <w:marTop w:val="0"/>
      <w:marBottom w:val="0"/>
      <w:divBdr>
        <w:top w:val="none" w:sz="0" w:space="0" w:color="auto"/>
        <w:left w:val="none" w:sz="0" w:space="0" w:color="auto"/>
        <w:bottom w:val="none" w:sz="0" w:space="0" w:color="auto"/>
        <w:right w:val="none" w:sz="0" w:space="0" w:color="auto"/>
      </w:divBdr>
    </w:div>
    <w:div w:id="1576474686">
      <w:bodyDiv w:val="1"/>
      <w:marLeft w:val="0"/>
      <w:marRight w:val="0"/>
      <w:marTop w:val="0"/>
      <w:marBottom w:val="0"/>
      <w:divBdr>
        <w:top w:val="none" w:sz="0" w:space="0" w:color="auto"/>
        <w:left w:val="none" w:sz="0" w:space="0" w:color="auto"/>
        <w:bottom w:val="none" w:sz="0" w:space="0" w:color="auto"/>
        <w:right w:val="none" w:sz="0" w:space="0" w:color="auto"/>
      </w:divBdr>
    </w:div>
    <w:div w:id="1581716910">
      <w:bodyDiv w:val="1"/>
      <w:marLeft w:val="0"/>
      <w:marRight w:val="0"/>
      <w:marTop w:val="0"/>
      <w:marBottom w:val="0"/>
      <w:divBdr>
        <w:top w:val="none" w:sz="0" w:space="0" w:color="auto"/>
        <w:left w:val="none" w:sz="0" w:space="0" w:color="auto"/>
        <w:bottom w:val="none" w:sz="0" w:space="0" w:color="auto"/>
        <w:right w:val="none" w:sz="0" w:space="0" w:color="auto"/>
      </w:divBdr>
    </w:div>
    <w:div w:id="1584530771">
      <w:bodyDiv w:val="1"/>
      <w:marLeft w:val="0"/>
      <w:marRight w:val="0"/>
      <w:marTop w:val="0"/>
      <w:marBottom w:val="0"/>
      <w:divBdr>
        <w:top w:val="none" w:sz="0" w:space="0" w:color="auto"/>
        <w:left w:val="none" w:sz="0" w:space="0" w:color="auto"/>
        <w:bottom w:val="none" w:sz="0" w:space="0" w:color="auto"/>
        <w:right w:val="none" w:sz="0" w:space="0" w:color="auto"/>
      </w:divBdr>
    </w:div>
    <w:div w:id="1586449377">
      <w:bodyDiv w:val="1"/>
      <w:marLeft w:val="0"/>
      <w:marRight w:val="0"/>
      <w:marTop w:val="0"/>
      <w:marBottom w:val="0"/>
      <w:divBdr>
        <w:top w:val="none" w:sz="0" w:space="0" w:color="auto"/>
        <w:left w:val="none" w:sz="0" w:space="0" w:color="auto"/>
        <w:bottom w:val="none" w:sz="0" w:space="0" w:color="auto"/>
        <w:right w:val="none" w:sz="0" w:space="0" w:color="auto"/>
      </w:divBdr>
    </w:div>
    <w:div w:id="1588072739">
      <w:bodyDiv w:val="1"/>
      <w:marLeft w:val="0"/>
      <w:marRight w:val="0"/>
      <w:marTop w:val="0"/>
      <w:marBottom w:val="0"/>
      <w:divBdr>
        <w:top w:val="none" w:sz="0" w:space="0" w:color="auto"/>
        <w:left w:val="none" w:sz="0" w:space="0" w:color="auto"/>
        <w:bottom w:val="none" w:sz="0" w:space="0" w:color="auto"/>
        <w:right w:val="none" w:sz="0" w:space="0" w:color="auto"/>
      </w:divBdr>
    </w:div>
    <w:div w:id="1590384218">
      <w:bodyDiv w:val="1"/>
      <w:marLeft w:val="0"/>
      <w:marRight w:val="0"/>
      <w:marTop w:val="0"/>
      <w:marBottom w:val="0"/>
      <w:divBdr>
        <w:top w:val="none" w:sz="0" w:space="0" w:color="auto"/>
        <w:left w:val="none" w:sz="0" w:space="0" w:color="auto"/>
        <w:bottom w:val="none" w:sz="0" w:space="0" w:color="auto"/>
        <w:right w:val="none" w:sz="0" w:space="0" w:color="auto"/>
      </w:divBdr>
    </w:div>
    <w:div w:id="1590582610">
      <w:bodyDiv w:val="1"/>
      <w:marLeft w:val="0"/>
      <w:marRight w:val="0"/>
      <w:marTop w:val="0"/>
      <w:marBottom w:val="0"/>
      <w:divBdr>
        <w:top w:val="none" w:sz="0" w:space="0" w:color="auto"/>
        <w:left w:val="none" w:sz="0" w:space="0" w:color="auto"/>
        <w:bottom w:val="none" w:sz="0" w:space="0" w:color="auto"/>
        <w:right w:val="none" w:sz="0" w:space="0" w:color="auto"/>
      </w:divBdr>
    </w:div>
    <w:div w:id="1591622357">
      <w:bodyDiv w:val="1"/>
      <w:marLeft w:val="0"/>
      <w:marRight w:val="0"/>
      <w:marTop w:val="0"/>
      <w:marBottom w:val="0"/>
      <w:divBdr>
        <w:top w:val="none" w:sz="0" w:space="0" w:color="auto"/>
        <w:left w:val="none" w:sz="0" w:space="0" w:color="auto"/>
        <w:bottom w:val="none" w:sz="0" w:space="0" w:color="auto"/>
        <w:right w:val="none" w:sz="0" w:space="0" w:color="auto"/>
      </w:divBdr>
    </w:div>
    <w:div w:id="1612132305">
      <w:bodyDiv w:val="1"/>
      <w:marLeft w:val="0"/>
      <w:marRight w:val="0"/>
      <w:marTop w:val="0"/>
      <w:marBottom w:val="0"/>
      <w:divBdr>
        <w:top w:val="none" w:sz="0" w:space="0" w:color="auto"/>
        <w:left w:val="none" w:sz="0" w:space="0" w:color="auto"/>
        <w:bottom w:val="none" w:sz="0" w:space="0" w:color="auto"/>
        <w:right w:val="none" w:sz="0" w:space="0" w:color="auto"/>
      </w:divBdr>
    </w:div>
    <w:div w:id="1621841540">
      <w:bodyDiv w:val="1"/>
      <w:marLeft w:val="0"/>
      <w:marRight w:val="0"/>
      <w:marTop w:val="0"/>
      <w:marBottom w:val="0"/>
      <w:divBdr>
        <w:top w:val="none" w:sz="0" w:space="0" w:color="auto"/>
        <w:left w:val="none" w:sz="0" w:space="0" w:color="auto"/>
        <w:bottom w:val="none" w:sz="0" w:space="0" w:color="auto"/>
        <w:right w:val="none" w:sz="0" w:space="0" w:color="auto"/>
      </w:divBdr>
    </w:div>
    <w:div w:id="1632008165">
      <w:bodyDiv w:val="1"/>
      <w:marLeft w:val="0"/>
      <w:marRight w:val="0"/>
      <w:marTop w:val="0"/>
      <w:marBottom w:val="0"/>
      <w:divBdr>
        <w:top w:val="none" w:sz="0" w:space="0" w:color="auto"/>
        <w:left w:val="none" w:sz="0" w:space="0" w:color="auto"/>
        <w:bottom w:val="none" w:sz="0" w:space="0" w:color="auto"/>
        <w:right w:val="none" w:sz="0" w:space="0" w:color="auto"/>
      </w:divBdr>
    </w:div>
    <w:div w:id="1637177452">
      <w:bodyDiv w:val="1"/>
      <w:marLeft w:val="0"/>
      <w:marRight w:val="0"/>
      <w:marTop w:val="0"/>
      <w:marBottom w:val="0"/>
      <w:divBdr>
        <w:top w:val="none" w:sz="0" w:space="0" w:color="auto"/>
        <w:left w:val="none" w:sz="0" w:space="0" w:color="auto"/>
        <w:bottom w:val="none" w:sz="0" w:space="0" w:color="auto"/>
        <w:right w:val="none" w:sz="0" w:space="0" w:color="auto"/>
      </w:divBdr>
    </w:div>
    <w:div w:id="1642610182">
      <w:bodyDiv w:val="1"/>
      <w:marLeft w:val="0"/>
      <w:marRight w:val="0"/>
      <w:marTop w:val="0"/>
      <w:marBottom w:val="0"/>
      <w:divBdr>
        <w:top w:val="none" w:sz="0" w:space="0" w:color="auto"/>
        <w:left w:val="none" w:sz="0" w:space="0" w:color="auto"/>
        <w:bottom w:val="none" w:sz="0" w:space="0" w:color="auto"/>
        <w:right w:val="none" w:sz="0" w:space="0" w:color="auto"/>
      </w:divBdr>
    </w:div>
    <w:div w:id="1646936710">
      <w:bodyDiv w:val="1"/>
      <w:marLeft w:val="0"/>
      <w:marRight w:val="0"/>
      <w:marTop w:val="0"/>
      <w:marBottom w:val="0"/>
      <w:divBdr>
        <w:top w:val="none" w:sz="0" w:space="0" w:color="auto"/>
        <w:left w:val="none" w:sz="0" w:space="0" w:color="auto"/>
        <w:bottom w:val="none" w:sz="0" w:space="0" w:color="auto"/>
        <w:right w:val="none" w:sz="0" w:space="0" w:color="auto"/>
      </w:divBdr>
    </w:div>
    <w:div w:id="1647975770">
      <w:bodyDiv w:val="1"/>
      <w:marLeft w:val="0"/>
      <w:marRight w:val="0"/>
      <w:marTop w:val="0"/>
      <w:marBottom w:val="0"/>
      <w:divBdr>
        <w:top w:val="none" w:sz="0" w:space="0" w:color="auto"/>
        <w:left w:val="none" w:sz="0" w:space="0" w:color="auto"/>
        <w:bottom w:val="none" w:sz="0" w:space="0" w:color="auto"/>
        <w:right w:val="none" w:sz="0" w:space="0" w:color="auto"/>
      </w:divBdr>
    </w:div>
    <w:div w:id="1652325359">
      <w:bodyDiv w:val="1"/>
      <w:marLeft w:val="0"/>
      <w:marRight w:val="0"/>
      <w:marTop w:val="0"/>
      <w:marBottom w:val="0"/>
      <w:divBdr>
        <w:top w:val="none" w:sz="0" w:space="0" w:color="auto"/>
        <w:left w:val="none" w:sz="0" w:space="0" w:color="auto"/>
        <w:bottom w:val="none" w:sz="0" w:space="0" w:color="auto"/>
        <w:right w:val="none" w:sz="0" w:space="0" w:color="auto"/>
      </w:divBdr>
    </w:div>
    <w:div w:id="1663971310">
      <w:bodyDiv w:val="1"/>
      <w:marLeft w:val="0"/>
      <w:marRight w:val="0"/>
      <w:marTop w:val="0"/>
      <w:marBottom w:val="0"/>
      <w:divBdr>
        <w:top w:val="none" w:sz="0" w:space="0" w:color="auto"/>
        <w:left w:val="none" w:sz="0" w:space="0" w:color="auto"/>
        <w:bottom w:val="none" w:sz="0" w:space="0" w:color="auto"/>
        <w:right w:val="none" w:sz="0" w:space="0" w:color="auto"/>
      </w:divBdr>
    </w:div>
    <w:div w:id="1670281835">
      <w:bodyDiv w:val="1"/>
      <w:marLeft w:val="0"/>
      <w:marRight w:val="0"/>
      <w:marTop w:val="0"/>
      <w:marBottom w:val="0"/>
      <w:divBdr>
        <w:top w:val="none" w:sz="0" w:space="0" w:color="auto"/>
        <w:left w:val="none" w:sz="0" w:space="0" w:color="auto"/>
        <w:bottom w:val="none" w:sz="0" w:space="0" w:color="auto"/>
        <w:right w:val="none" w:sz="0" w:space="0" w:color="auto"/>
      </w:divBdr>
    </w:div>
    <w:div w:id="1670518026">
      <w:bodyDiv w:val="1"/>
      <w:marLeft w:val="0"/>
      <w:marRight w:val="0"/>
      <w:marTop w:val="0"/>
      <w:marBottom w:val="0"/>
      <w:divBdr>
        <w:top w:val="none" w:sz="0" w:space="0" w:color="auto"/>
        <w:left w:val="none" w:sz="0" w:space="0" w:color="auto"/>
        <w:bottom w:val="none" w:sz="0" w:space="0" w:color="auto"/>
        <w:right w:val="none" w:sz="0" w:space="0" w:color="auto"/>
      </w:divBdr>
    </w:div>
    <w:div w:id="1673986698">
      <w:bodyDiv w:val="1"/>
      <w:marLeft w:val="0"/>
      <w:marRight w:val="0"/>
      <w:marTop w:val="0"/>
      <w:marBottom w:val="0"/>
      <w:divBdr>
        <w:top w:val="none" w:sz="0" w:space="0" w:color="auto"/>
        <w:left w:val="none" w:sz="0" w:space="0" w:color="auto"/>
        <w:bottom w:val="none" w:sz="0" w:space="0" w:color="auto"/>
        <w:right w:val="none" w:sz="0" w:space="0" w:color="auto"/>
      </w:divBdr>
    </w:div>
    <w:div w:id="1722174453">
      <w:bodyDiv w:val="1"/>
      <w:marLeft w:val="0"/>
      <w:marRight w:val="0"/>
      <w:marTop w:val="0"/>
      <w:marBottom w:val="0"/>
      <w:divBdr>
        <w:top w:val="none" w:sz="0" w:space="0" w:color="auto"/>
        <w:left w:val="none" w:sz="0" w:space="0" w:color="auto"/>
        <w:bottom w:val="none" w:sz="0" w:space="0" w:color="auto"/>
        <w:right w:val="none" w:sz="0" w:space="0" w:color="auto"/>
      </w:divBdr>
    </w:div>
    <w:div w:id="1722368009">
      <w:bodyDiv w:val="1"/>
      <w:marLeft w:val="0"/>
      <w:marRight w:val="0"/>
      <w:marTop w:val="0"/>
      <w:marBottom w:val="0"/>
      <w:divBdr>
        <w:top w:val="none" w:sz="0" w:space="0" w:color="auto"/>
        <w:left w:val="none" w:sz="0" w:space="0" w:color="auto"/>
        <w:bottom w:val="none" w:sz="0" w:space="0" w:color="auto"/>
        <w:right w:val="none" w:sz="0" w:space="0" w:color="auto"/>
      </w:divBdr>
    </w:div>
    <w:div w:id="1723477251">
      <w:bodyDiv w:val="1"/>
      <w:marLeft w:val="0"/>
      <w:marRight w:val="0"/>
      <w:marTop w:val="0"/>
      <w:marBottom w:val="0"/>
      <w:divBdr>
        <w:top w:val="none" w:sz="0" w:space="0" w:color="auto"/>
        <w:left w:val="none" w:sz="0" w:space="0" w:color="auto"/>
        <w:bottom w:val="none" w:sz="0" w:space="0" w:color="auto"/>
        <w:right w:val="none" w:sz="0" w:space="0" w:color="auto"/>
      </w:divBdr>
    </w:div>
    <w:div w:id="1727292811">
      <w:bodyDiv w:val="1"/>
      <w:marLeft w:val="0"/>
      <w:marRight w:val="0"/>
      <w:marTop w:val="0"/>
      <w:marBottom w:val="0"/>
      <w:divBdr>
        <w:top w:val="none" w:sz="0" w:space="0" w:color="auto"/>
        <w:left w:val="none" w:sz="0" w:space="0" w:color="auto"/>
        <w:bottom w:val="none" w:sz="0" w:space="0" w:color="auto"/>
        <w:right w:val="none" w:sz="0" w:space="0" w:color="auto"/>
      </w:divBdr>
    </w:div>
    <w:div w:id="1735083819">
      <w:bodyDiv w:val="1"/>
      <w:marLeft w:val="0"/>
      <w:marRight w:val="0"/>
      <w:marTop w:val="0"/>
      <w:marBottom w:val="0"/>
      <w:divBdr>
        <w:top w:val="none" w:sz="0" w:space="0" w:color="auto"/>
        <w:left w:val="none" w:sz="0" w:space="0" w:color="auto"/>
        <w:bottom w:val="none" w:sz="0" w:space="0" w:color="auto"/>
        <w:right w:val="none" w:sz="0" w:space="0" w:color="auto"/>
      </w:divBdr>
    </w:div>
    <w:div w:id="1741515685">
      <w:bodyDiv w:val="1"/>
      <w:marLeft w:val="0"/>
      <w:marRight w:val="0"/>
      <w:marTop w:val="0"/>
      <w:marBottom w:val="0"/>
      <w:divBdr>
        <w:top w:val="none" w:sz="0" w:space="0" w:color="auto"/>
        <w:left w:val="none" w:sz="0" w:space="0" w:color="auto"/>
        <w:bottom w:val="none" w:sz="0" w:space="0" w:color="auto"/>
        <w:right w:val="none" w:sz="0" w:space="0" w:color="auto"/>
      </w:divBdr>
    </w:div>
    <w:div w:id="1744181825">
      <w:bodyDiv w:val="1"/>
      <w:marLeft w:val="0"/>
      <w:marRight w:val="0"/>
      <w:marTop w:val="0"/>
      <w:marBottom w:val="0"/>
      <w:divBdr>
        <w:top w:val="none" w:sz="0" w:space="0" w:color="auto"/>
        <w:left w:val="none" w:sz="0" w:space="0" w:color="auto"/>
        <w:bottom w:val="none" w:sz="0" w:space="0" w:color="auto"/>
        <w:right w:val="none" w:sz="0" w:space="0" w:color="auto"/>
      </w:divBdr>
    </w:div>
    <w:div w:id="1767925449">
      <w:bodyDiv w:val="1"/>
      <w:marLeft w:val="0"/>
      <w:marRight w:val="0"/>
      <w:marTop w:val="0"/>
      <w:marBottom w:val="0"/>
      <w:divBdr>
        <w:top w:val="none" w:sz="0" w:space="0" w:color="auto"/>
        <w:left w:val="none" w:sz="0" w:space="0" w:color="auto"/>
        <w:bottom w:val="none" w:sz="0" w:space="0" w:color="auto"/>
        <w:right w:val="none" w:sz="0" w:space="0" w:color="auto"/>
      </w:divBdr>
    </w:div>
    <w:div w:id="1782990115">
      <w:bodyDiv w:val="1"/>
      <w:marLeft w:val="0"/>
      <w:marRight w:val="0"/>
      <w:marTop w:val="0"/>
      <w:marBottom w:val="0"/>
      <w:divBdr>
        <w:top w:val="none" w:sz="0" w:space="0" w:color="auto"/>
        <w:left w:val="none" w:sz="0" w:space="0" w:color="auto"/>
        <w:bottom w:val="none" w:sz="0" w:space="0" w:color="auto"/>
        <w:right w:val="none" w:sz="0" w:space="0" w:color="auto"/>
      </w:divBdr>
    </w:div>
    <w:div w:id="1785033913">
      <w:bodyDiv w:val="1"/>
      <w:marLeft w:val="0"/>
      <w:marRight w:val="0"/>
      <w:marTop w:val="0"/>
      <w:marBottom w:val="0"/>
      <w:divBdr>
        <w:top w:val="none" w:sz="0" w:space="0" w:color="auto"/>
        <w:left w:val="none" w:sz="0" w:space="0" w:color="auto"/>
        <w:bottom w:val="none" w:sz="0" w:space="0" w:color="auto"/>
        <w:right w:val="none" w:sz="0" w:space="0" w:color="auto"/>
      </w:divBdr>
    </w:div>
    <w:div w:id="1786731956">
      <w:bodyDiv w:val="1"/>
      <w:marLeft w:val="0"/>
      <w:marRight w:val="0"/>
      <w:marTop w:val="0"/>
      <w:marBottom w:val="0"/>
      <w:divBdr>
        <w:top w:val="none" w:sz="0" w:space="0" w:color="auto"/>
        <w:left w:val="none" w:sz="0" w:space="0" w:color="auto"/>
        <w:bottom w:val="none" w:sz="0" w:space="0" w:color="auto"/>
        <w:right w:val="none" w:sz="0" w:space="0" w:color="auto"/>
      </w:divBdr>
    </w:div>
    <w:div w:id="1786802979">
      <w:bodyDiv w:val="1"/>
      <w:marLeft w:val="0"/>
      <w:marRight w:val="0"/>
      <w:marTop w:val="0"/>
      <w:marBottom w:val="0"/>
      <w:divBdr>
        <w:top w:val="none" w:sz="0" w:space="0" w:color="auto"/>
        <w:left w:val="none" w:sz="0" w:space="0" w:color="auto"/>
        <w:bottom w:val="none" w:sz="0" w:space="0" w:color="auto"/>
        <w:right w:val="none" w:sz="0" w:space="0" w:color="auto"/>
      </w:divBdr>
    </w:div>
    <w:div w:id="1788163054">
      <w:bodyDiv w:val="1"/>
      <w:marLeft w:val="0"/>
      <w:marRight w:val="0"/>
      <w:marTop w:val="0"/>
      <w:marBottom w:val="0"/>
      <w:divBdr>
        <w:top w:val="none" w:sz="0" w:space="0" w:color="auto"/>
        <w:left w:val="none" w:sz="0" w:space="0" w:color="auto"/>
        <w:bottom w:val="none" w:sz="0" w:space="0" w:color="auto"/>
        <w:right w:val="none" w:sz="0" w:space="0" w:color="auto"/>
      </w:divBdr>
    </w:div>
    <w:div w:id="1804545605">
      <w:bodyDiv w:val="1"/>
      <w:marLeft w:val="0"/>
      <w:marRight w:val="0"/>
      <w:marTop w:val="0"/>
      <w:marBottom w:val="0"/>
      <w:divBdr>
        <w:top w:val="none" w:sz="0" w:space="0" w:color="auto"/>
        <w:left w:val="none" w:sz="0" w:space="0" w:color="auto"/>
        <w:bottom w:val="none" w:sz="0" w:space="0" w:color="auto"/>
        <w:right w:val="none" w:sz="0" w:space="0" w:color="auto"/>
      </w:divBdr>
    </w:div>
    <w:div w:id="1812794939">
      <w:bodyDiv w:val="1"/>
      <w:marLeft w:val="0"/>
      <w:marRight w:val="0"/>
      <w:marTop w:val="0"/>
      <w:marBottom w:val="0"/>
      <w:divBdr>
        <w:top w:val="none" w:sz="0" w:space="0" w:color="auto"/>
        <w:left w:val="none" w:sz="0" w:space="0" w:color="auto"/>
        <w:bottom w:val="none" w:sz="0" w:space="0" w:color="auto"/>
        <w:right w:val="none" w:sz="0" w:space="0" w:color="auto"/>
      </w:divBdr>
    </w:div>
    <w:div w:id="1814983113">
      <w:bodyDiv w:val="1"/>
      <w:marLeft w:val="0"/>
      <w:marRight w:val="0"/>
      <w:marTop w:val="0"/>
      <w:marBottom w:val="0"/>
      <w:divBdr>
        <w:top w:val="none" w:sz="0" w:space="0" w:color="auto"/>
        <w:left w:val="none" w:sz="0" w:space="0" w:color="auto"/>
        <w:bottom w:val="none" w:sz="0" w:space="0" w:color="auto"/>
        <w:right w:val="none" w:sz="0" w:space="0" w:color="auto"/>
      </w:divBdr>
    </w:div>
    <w:div w:id="1819107691">
      <w:bodyDiv w:val="1"/>
      <w:marLeft w:val="0"/>
      <w:marRight w:val="0"/>
      <w:marTop w:val="0"/>
      <w:marBottom w:val="0"/>
      <w:divBdr>
        <w:top w:val="none" w:sz="0" w:space="0" w:color="auto"/>
        <w:left w:val="none" w:sz="0" w:space="0" w:color="auto"/>
        <w:bottom w:val="none" w:sz="0" w:space="0" w:color="auto"/>
        <w:right w:val="none" w:sz="0" w:space="0" w:color="auto"/>
      </w:divBdr>
    </w:div>
    <w:div w:id="1840197601">
      <w:bodyDiv w:val="1"/>
      <w:marLeft w:val="0"/>
      <w:marRight w:val="0"/>
      <w:marTop w:val="0"/>
      <w:marBottom w:val="0"/>
      <w:divBdr>
        <w:top w:val="none" w:sz="0" w:space="0" w:color="auto"/>
        <w:left w:val="none" w:sz="0" w:space="0" w:color="auto"/>
        <w:bottom w:val="none" w:sz="0" w:space="0" w:color="auto"/>
        <w:right w:val="none" w:sz="0" w:space="0" w:color="auto"/>
      </w:divBdr>
    </w:div>
    <w:div w:id="1840659215">
      <w:bodyDiv w:val="1"/>
      <w:marLeft w:val="0"/>
      <w:marRight w:val="0"/>
      <w:marTop w:val="0"/>
      <w:marBottom w:val="0"/>
      <w:divBdr>
        <w:top w:val="none" w:sz="0" w:space="0" w:color="auto"/>
        <w:left w:val="none" w:sz="0" w:space="0" w:color="auto"/>
        <w:bottom w:val="none" w:sz="0" w:space="0" w:color="auto"/>
        <w:right w:val="none" w:sz="0" w:space="0" w:color="auto"/>
      </w:divBdr>
    </w:div>
    <w:div w:id="1845630450">
      <w:bodyDiv w:val="1"/>
      <w:marLeft w:val="0"/>
      <w:marRight w:val="0"/>
      <w:marTop w:val="0"/>
      <w:marBottom w:val="0"/>
      <w:divBdr>
        <w:top w:val="none" w:sz="0" w:space="0" w:color="auto"/>
        <w:left w:val="none" w:sz="0" w:space="0" w:color="auto"/>
        <w:bottom w:val="none" w:sz="0" w:space="0" w:color="auto"/>
        <w:right w:val="none" w:sz="0" w:space="0" w:color="auto"/>
      </w:divBdr>
    </w:div>
    <w:div w:id="1846356814">
      <w:bodyDiv w:val="1"/>
      <w:marLeft w:val="0"/>
      <w:marRight w:val="0"/>
      <w:marTop w:val="0"/>
      <w:marBottom w:val="0"/>
      <w:divBdr>
        <w:top w:val="none" w:sz="0" w:space="0" w:color="auto"/>
        <w:left w:val="none" w:sz="0" w:space="0" w:color="auto"/>
        <w:bottom w:val="none" w:sz="0" w:space="0" w:color="auto"/>
        <w:right w:val="none" w:sz="0" w:space="0" w:color="auto"/>
      </w:divBdr>
    </w:div>
    <w:div w:id="1851024918">
      <w:bodyDiv w:val="1"/>
      <w:marLeft w:val="0"/>
      <w:marRight w:val="0"/>
      <w:marTop w:val="0"/>
      <w:marBottom w:val="0"/>
      <w:divBdr>
        <w:top w:val="none" w:sz="0" w:space="0" w:color="auto"/>
        <w:left w:val="none" w:sz="0" w:space="0" w:color="auto"/>
        <w:bottom w:val="none" w:sz="0" w:space="0" w:color="auto"/>
        <w:right w:val="none" w:sz="0" w:space="0" w:color="auto"/>
      </w:divBdr>
    </w:div>
    <w:div w:id="1856336130">
      <w:bodyDiv w:val="1"/>
      <w:marLeft w:val="0"/>
      <w:marRight w:val="0"/>
      <w:marTop w:val="0"/>
      <w:marBottom w:val="0"/>
      <w:divBdr>
        <w:top w:val="none" w:sz="0" w:space="0" w:color="auto"/>
        <w:left w:val="none" w:sz="0" w:space="0" w:color="auto"/>
        <w:bottom w:val="none" w:sz="0" w:space="0" w:color="auto"/>
        <w:right w:val="none" w:sz="0" w:space="0" w:color="auto"/>
      </w:divBdr>
    </w:div>
    <w:div w:id="1882476781">
      <w:bodyDiv w:val="1"/>
      <w:marLeft w:val="0"/>
      <w:marRight w:val="0"/>
      <w:marTop w:val="0"/>
      <w:marBottom w:val="0"/>
      <w:divBdr>
        <w:top w:val="none" w:sz="0" w:space="0" w:color="auto"/>
        <w:left w:val="none" w:sz="0" w:space="0" w:color="auto"/>
        <w:bottom w:val="none" w:sz="0" w:space="0" w:color="auto"/>
        <w:right w:val="none" w:sz="0" w:space="0" w:color="auto"/>
      </w:divBdr>
    </w:div>
    <w:div w:id="1883587829">
      <w:bodyDiv w:val="1"/>
      <w:marLeft w:val="0"/>
      <w:marRight w:val="0"/>
      <w:marTop w:val="0"/>
      <w:marBottom w:val="0"/>
      <w:divBdr>
        <w:top w:val="none" w:sz="0" w:space="0" w:color="auto"/>
        <w:left w:val="none" w:sz="0" w:space="0" w:color="auto"/>
        <w:bottom w:val="none" w:sz="0" w:space="0" w:color="auto"/>
        <w:right w:val="none" w:sz="0" w:space="0" w:color="auto"/>
      </w:divBdr>
    </w:div>
    <w:div w:id="1891188415">
      <w:bodyDiv w:val="1"/>
      <w:marLeft w:val="0"/>
      <w:marRight w:val="0"/>
      <w:marTop w:val="0"/>
      <w:marBottom w:val="0"/>
      <w:divBdr>
        <w:top w:val="none" w:sz="0" w:space="0" w:color="auto"/>
        <w:left w:val="none" w:sz="0" w:space="0" w:color="auto"/>
        <w:bottom w:val="none" w:sz="0" w:space="0" w:color="auto"/>
        <w:right w:val="none" w:sz="0" w:space="0" w:color="auto"/>
      </w:divBdr>
    </w:div>
    <w:div w:id="1894388933">
      <w:bodyDiv w:val="1"/>
      <w:marLeft w:val="0"/>
      <w:marRight w:val="0"/>
      <w:marTop w:val="0"/>
      <w:marBottom w:val="0"/>
      <w:divBdr>
        <w:top w:val="none" w:sz="0" w:space="0" w:color="auto"/>
        <w:left w:val="none" w:sz="0" w:space="0" w:color="auto"/>
        <w:bottom w:val="none" w:sz="0" w:space="0" w:color="auto"/>
        <w:right w:val="none" w:sz="0" w:space="0" w:color="auto"/>
      </w:divBdr>
    </w:div>
    <w:div w:id="1905526358">
      <w:bodyDiv w:val="1"/>
      <w:marLeft w:val="0"/>
      <w:marRight w:val="0"/>
      <w:marTop w:val="0"/>
      <w:marBottom w:val="0"/>
      <w:divBdr>
        <w:top w:val="none" w:sz="0" w:space="0" w:color="auto"/>
        <w:left w:val="none" w:sz="0" w:space="0" w:color="auto"/>
        <w:bottom w:val="none" w:sz="0" w:space="0" w:color="auto"/>
        <w:right w:val="none" w:sz="0" w:space="0" w:color="auto"/>
      </w:divBdr>
    </w:div>
    <w:div w:id="1917937314">
      <w:bodyDiv w:val="1"/>
      <w:marLeft w:val="0"/>
      <w:marRight w:val="0"/>
      <w:marTop w:val="0"/>
      <w:marBottom w:val="0"/>
      <w:divBdr>
        <w:top w:val="none" w:sz="0" w:space="0" w:color="auto"/>
        <w:left w:val="none" w:sz="0" w:space="0" w:color="auto"/>
        <w:bottom w:val="none" w:sz="0" w:space="0" w:color="auto"/>
        <w:right w:val="none" w:sz="0" w:space="0" w:color="auto"/>
      </w:divBdr>
    </w:div>
    <w:div w:id="1922829329">
      <w:bodyDiv w:val="1"/>
      <w:marLeft w:val="0"/>
      <w:marRight w:val="0"/>
      <w:marTop w:val="0"/>
      <w:marBottom w:val="0"/>
      <w:divBdr>
        <w:top w:val="none" w:sz="0" w:space="0" w:color="auto"/>
        <w:left w:val="none" w:sz="0" w:space="0" w:color="auto"/>
        <w:bottom w:val="none" w:sz="0" w:space="0" w:color="auto"/>
        <w:right w:val="none" w:sz="0" w:space="0" w:color="auto"/>
      </w:divBdr>
    </w:div>
    <w:div w:id="1925145065">
      <w:bodyDiv w:val="1"/>
      <w:marLeft w:val="0"/>
      <w:marRight w:val="0"/>
      <w:marTop w:val="0"/>
      <w:marBottom w:val="0"/>
      <w:divBdr>
        <w:top w:val="none" w:sz="0" w:space="0" w:color="auto"/>
        <w:left w:val="none" w:sz="0" w:space="0" w:color="auto"/>
        <w:bottom w:val="none" w:sz="0" w:space="0" w:color="auto"/>
        <w:right w:val="none" w:sz="0" w:space="0" w:color="auto"/>
      </w:divBdr>
    </w:div>
    <w:div w:id="1935094580">
      <w:bodyDiv w:val="1"/>
      <w:marLeft w:val="0"/>
      <w:marRight w:val="0"/>
      <w:marTop w:val="0"/>
      <w:marBottom w:val="0"/>
      <w:divBdr>
        <w:top w:val="none" w:sz="0" w:space="0" w:color="auto"/>
        <w:left w:val="none" w:sz="0" w:space="0" w:color="auto"/>
        <w:bottom w:val="none" w:sz="0" w:space="0" w:color="auto"/>
        <w:right w:val="none" w:sz="0" w:space="0" w:color="auto"/>
      </w:divBdr>
    </w:div>
    <w:div w:id="1935548945">
      <w:bodyDiv w:val="1"/>
      <w:marLeft w:val="0"/>
      <w:marRight w:val="0"/>
      <w:marTop w:val="0"/>
      <w:marBottom w:val="0"/>
      <w:divBdr>
        <w:top w:val="none" w:sz="0" w:space="0" w:color="auto"/>
        <w:left w:val="none" w:sz="0" w:space="0" w:color="auto"/>
        <w:bottom w:val="none" w:sz="0" w:space="0" w:color="auto"/>
        <w:right w:val="none" w:sz="0" w:space="0" w:color="auto"/>
      </w:divBdr>
    </w:div>
    <w:div w:id="1936210437">
      <w:bodyDiv w:val="1"/>
      <w:marLeft w:val="0"/>
      <w:marRight w:val="0"/>
      <w:marTop w:val="0"/>
      <w:marBottom w:val="0"/>
      <w:divBdr>
        <w:top w:val="none" w:sz="0" w:space="0" w:color="auto"/>
        <w:left w:val="none" w:sz="0" w:space="0" w:color="auto"/>
        <w:bottom w:val="none" w:sz="0" w:space="0" w:color="auto"/>
        <w:right w:val="none" w:sz="0" w:space="0" w:color="auto"/>
      </w:divBdr>
    </w:div>
    <w:div w:id="1942060189">
      <w:bodyDiv w:val="1"/>
      <w:marLeft w:val="0"/>
      <w:marRight w:val="0"/>
      <w:marTop w:val="0"/>
      <w:marBottom w:val="0"/>
      <w:divBdr>
        <w:top w:val="none" w:sz="0" w:space="0" w:color="auto"/>
        <w:left w:val="none" w:sz="0" w:space="0" w:color="auto"/>
        <w:bottom w:val="none" w:sz="0" w:space="0" w:color="auto"/>
        <w:right w:val="none" w:sz="0" w:space="0" w:color="auto"/>
      </w:divBdr>
    </w:div>
    <w:div w:id="1950503992">
      <w:bodyDiv w:val="1"/>
      <w:marLeft w:val="0"/>
      <w:marRight w:val="0"/>
      <w:marTop w:val="0"/>
      <w:marBottom w:val="0"/>
      <w:divBdr>
        <w:top w:val="none" w:sz="0" w:space="0" w:color="auto"/>
        <w:left w:val="none" w:sz="0" w:space="0" w:color="auto"/>
        <w:bottom w:val="none" w:sz="0" w:space="0" w:color="auto"/>
        <w:right w:val="none" w:sz="0" w:space="0" w:color="auto"/>
      </w:divBdr>
    </w:div>
    <w:div w:id="1968244850">
      <w:bodyDiv w:val="1"/>
      <w:marLeft w:val="0"/>
      <w:marRight w:val="0"/>
      <w:marTop w:val="0"/>
      <w:marBottom w:val="0"/>
      <w:divBdr>
        <w:top w:val="none" w:sz="0" w:space="0" w:color="auto"/>
        <w:left w:val="none" w:sz="0" w:space="0" w:color="auto"/>
        <w:bottom w:val="none" w:sz="0" w:space="0" w:color="auto"/>
        <w:right w:val="none" w:sz="0" w:space="0" w:color="auto"/>
      </w:divBdr>
    </w:div>
    <w:div w:id="1982954536">
      <w:bodyDiv w:val="1"/>
      <w:marLeft w:val="0"/>
      <w:marRight w:val="0"/>
      <w:marTop w:val="0"/>
      <w:marBottom w:val="0"/>
      <w:divBdr>
        <w:top w:val="none" w:sz="0" w:space="0" w:color="auto"/>
        <w:left w:val="none" w:sz="0" w:space="0" w:color="auto"/>
        <w:bottom w:val="none" w:sz="0" w:space="0" w:color="auto"/>
        <w:right w:val="none" w:sz="0" w:space="0" w:color="auto"/>
      </w:divBdr>
    </w:div>
    <w:div w:id="1994794033">
      <w:bodyDiv w:val="1"/>
      <w:marLeft w:val="0"/>
      <w:marRight w:val="0"/>
      <w:marTop w:val="0"/>
      <w:marBottom w:val="0"/>
      <w:divBdr>
        <w:top w:val="none" w:sz="0" w:space="0" w:color="auto"/>
        <w:left w:val="none" w:sz="0" w:space="0" w:color="auto"/>
        <w:bottom w:val="none" w:sz="0" w:space="0" w:color="auto"/>
        <w:right w:val="none" w:sz="0" w:space="0" w:color="auto"/>
      </w:divBdr>
    </w:div>
    <w:div w:id="1996369486">
      <w:bodyDiv w:val="1"/>
      <w:marLeft w:val="0"/>
      <w:marRight w:val="0"/>
      <w:marTop w:val="0"/>
      <w:marBottom w:val="0"/>
      <w:divBdr>
        <w:top w:val="none" w:sz="0" w:space="0" w:color="auto"/>
        <w:left w:val="none" w:sz="0" w:space="0" w:color="auto"/>
        <w:bottom w:val="none" w:sz="0" w:space="0" w:color="auto"/>
        <w:right w:val="none" w:sz="0" w:space="0" w:color="auto"/>
      </w:divBdr>
    </w:div>
    <w:div w:id="1996563944">
      <w:bodyDiv w:val="1"/>
      <w:marLeft w:val="0"/>
      <w:marRight w:val="0"/>
      <w:marTop w:val="0"/>
      <w:marBottom w:val="0"/>
      <w:divBdr>
        <w:top w:val="none" w:sz="0" w:space="0" w:color="auto"/>
        <w:left w:val="none" w:sz="0" w:space="0" w:color="auto"/>
        <w:bottom w:val="none" w:sz="0" w:space="0" w:color="auto"/>
        <w:right w:val="none" w:sz="0" w:space="0" w:color="auto"/>
      </w:divBdr>
    </w:div>
    <w:div w:id="2007244215">
      <w:bodyDiv w:val="1"/>
      <w:marLeft w:val="0"/>
      <w:marRight w:val="0"/>
      <w:marTop w:val="0"/>
      <w:marBottom w:val="0"/>
      <w:divBdr>
        <w:top w:val="none" w:sz="0" w:space="0" w:color="auto"/>
        <w:left w:val="none" w:sz="0" w:space="0" w:color="auto"/>
        <w:bottom w:val="none" w:sz="0" w:space="0" w:color="auto"/>
        <w:right w:val="none" w:sz="0" w:space="0" w:color="auto"/>
      </w:divBdr>
    </w:div>
    <w:div w:id="2012684565">
      <w:bodyDiv w:val="1"/>
      <w:marLeft w:val="0"/>
      <w:marRight w:val="0"/>
      <w:marTop w:val="0"/>
      <w:marBottom w:val="0"/>
      <w:divBdr>
        <w:top w:val="none" w:sz="0" w:space="0" w:color="auto"/>
        <w:left w:val="none" w:sz="0" w:space="0" w:color="auto"/>
        <w:bottom w:val="none" w:sz="0" w:space="0" w:color="auto"/>
        <w:right w:val="none" w:sz="0" w:space="0" w:color="auto"/>
      </w:divBdr>
    </w:div>
    <w:div w:id="2027242785">
      <w:bodyDiv w:val="1"/>
      <w:marLeft w:val="0"/>
      <w:marRight w:val="0"/>
      <w:marTop w:val="0"/>
      <w:marBottom w:val="0"/>
      <w:divBdr>
        <w:top w:val="none" w:sz="0" w:space="0" w:color="auto"/>
        <w:left w:val="none" w:sz="0" w:space="0" w:color="auto"/>
        <w:bottom w:val="none" w:sz="0" w:space="0" w:color="auto"/>
        <w:right w:val="none" w:sz="0" w:space="0" w:color="auto"/>
      </w:divBdr>
    </w:div>
    <w:div w:id="2044280207">
      <w:bodyDiv w:val="1"/>
      <w:marLeft w:val="0"/>
      <w:marRight w:val="0"/>
      <w:marTop w:val="0"/>
      <w:marBottom w:val="0"/>
      <w:divBdr>
        <w:top w:val="none" w:sz="0" w:space="0" w:color="auto"/>
        <w:left w:val="none" w:sz="0" w:space="0" w:color="auto"/>
        <w:bottom w:val="none" w:sz="0" w:space="0" w:color="auto"/>
        <w:right w:val="none" w:sz="0" w:space="0" w:color="auto"/>
      </w:divBdr>
    </w:div>
    <w:div w:id="2056659311">
      <w:bodyDiv w:val="1"/>
      <w:marLeft w:val="0"/>
      <w:marRight w:val="0"/>
      <w:marTop w:val="0"/>
      <w:marBottom w:val="0"/>
      <w:divBdr>
        <w:top w:val="none" w:sz="0" w:space="0" w:color="auto"/>
        <w:left w:val="none" w:sz="0" w:space="0" w:color="auto"/>
        <w:bottom w:val="none" w:sz="0" w:space="0" w:color="auto"/>
        <w:right w:val="none" w:sz="0" w:space="0" w:color="auto"/>
      </w:divBdr>
    </w:div>
    <w:div w:id="2058384514">
      <w:bodyDiv w:val="1"/>
      <w:marLeft w:val="0"/>
      <w:marRight w:val="0"/>
      <w:marTop w:val="0"/>
      <w:marBottom w:val="0"/>
      <w:divBdr>
        <w:top w:val="none" w:sz="0" w:space="0" w:color="auto"/>
        <w:left w:val="none" w:sz="0" w:space="0" w:color="auto"/>
        <w:bottom w:val="none" w:sz="0" w:space="0" w:color="auto"/>
        <w:right w:val="none" w:sz="0" w:space="0" w:color="auto"/>
      </w:divBdr>
    </w:div>
    <w:div w:id="2059281587">
      <w:bodyDiv w:val="1"/>
      <w:marLeft w:val="0"/>
      <w:marRight w:val="0"/>
      <w:marTop w:val="0"/>
      <w:marBottom w:val="0"/>
      <w:divBdr>
        <w:top w:val="none" w:sz="0" w:space="0" w:color="auto"/>
        <w:left w:val="none" w:sz="0" w:space="0" w:color="auto"/>
        <w:bottom w:val="none" w:sz="0" w:space="0" w:color="auto"/>
        <w:right w:val="none" w:sz="0" w:space="0" w:color="auto"/>
      </w:divBdr>
    </w:div>
    <w:div w:id="2068138994">
      <w:bodyDiv w:val="1"/>
      <w:marLeft w:val="0"/>
      <w:marRight w:val="0"/>
      <w:marTop w:val="0"/>
      <w:marBottom w:val="0"/>
      <w:divBdr>
        <w:top w:val="none" w:sz="0" w:space="0" w:color="auto"/>
        <w:left w:val="none" w:sz="0" w:space="0" w:color="auto"/>
        <w:bottom w:val="none" w:sz="0" w:space="0" w:color="auto"/>
        <w:right w:val="none" w:sz="0" w:space="0" w:color="auto"/>
      </w:divBdr>
    </w:div>
    <w:div w:id="2070298773">
      <w:bodyDiv w:val="1"/>
      <w:marLeft w:val="0"/>
      <w:marRight w:val="0"/>
      <w:marTop w:val="0"/>
      <w:marBottom w:val="0"/>
      <w:divBdr>
        <w:top w:val="none" w:sz="0" w:space="0" w:color="auto"/>
        <w:left w:val="none" w:sz="0" w:space="0" w:color="auto"/>
        <w:bottom w:val="none" w:sz="0" w:space="0" w:color="auto"/>
        <w:right w:val="none" w:sz="0" w:space="0" w:color="auto"/>
      </w:divBdr>
    </w:div>
    <w:div w:id="2073888203">
      <w:bodyDiv w:val="1"/>
      <w:marLeft w:val="0"/>
      <w:marRight w:val="0"/>
      <w:marTop w:val="0"/>
      <w:marBottom w:val="0"/>
      <w:divBdr>
        <w:top w:val="none" w:sz="0" w:space="0" w:color="auto"/>
        <w:left w:val="none" w:sz="0" w:space="0" w:color="auto"/>
        <w:bottom w:val="none" w:sz="0" w:space="0" w:color="auto"/>
        <w:right w:val="none" w:sz="0" w:space="0" w:color="auto"/>
      </w:divBdr>
    </w:div>
    <w:div w:id="2085181178">
      <w:bodyDiv w:val="1"/>
      <w:marLeft w:val="0"/>
      <w:marRight w:val="0"/>
      <w:marTop w:val="0"/>
      <w:marBottom w:val="0"/>
      <w:divBdr>
        <w:top w:val="none" w:sz="0" w:space="0" w:color="auto"/>
        <w:left w:val="none" w:sz="0" w:space="0" w:color="auto"/>
        <w:bottom w:val="none" w:sz="0" w:space="0" w:color="auto"/>
        <w:right w:val="none" w:sz="0" w:space="0" w:color="auto"/>
      </w:divBdr>
    </w:div>
    <w:div w:id="2095127012">
      <w:bodyDiv w:val="1"/>
      <w:marLeft w:val="0"/>
      <w:marRight w:val="0"/>
      <w:marTop w:val="0"/>
      <w:marBottom w:val="0"/>
      <w:divBdr>
        <w:top w:val="none" w:sz="0" w:space="0" w:color="auto"/>
        <w:left w:val="none" w:sz="0" w:space="0" w:color="auto"/>
        <w:bottom w:val="none" w:sz="0" w:space="0" w:color="auto"/>
        <w:right w:val="none" w:sz="0" w:space="0" w:color="auto"/>
      </w:divBdr>
    </w:div>
    <w:div w:id="2099594983">
      <w:bodyDiv w:val="1"/>
      <w:marLeft w:val="0"/>
      <w:marRight w:val="0"/>
      <w:marTop w:val="0"/>
      <w:marBottom w:val="0"/>
      <w:divBdr>
        <w:top w:val="none" w:sz="0" w:space="0" w:color="auto"/>
        <w:left w:val="none" w:sz="0" w:space="0" w:color="auto"/>
        <w:bottom w:val="none" w:sz="0" w:space="0" w:color="auto"/>
        <w:right w:val="none" w:sz="0" w:space="0" w:color="auto"/>
      </w:divBdr>
    </w:div>
    <w:div w:id="2100909514">
      <w:bodyDiv w:val="1"/>
      <w:marLeft w:val="0"/>
      <w:marRight w:val="0"/>
      <w:marTop w:val="0"/>
      <w:marBottom w:val="0"/>
      <w:divBdr>
        <w:top w:val="none" w:sz="0" w:space="0" w:color="auto"/>
        <w:left w:val="none" w:sz="0" w:space="0" w:color="auto"/>
        <w:bottom w:val="none" w:sz="0" w:space="0" w:color="auto"/>
        <w:right w:val="none" w:sz="0" w:space="0" w:color="auto"/>
      </w:divBdr>
    </w:div>
    <w:div w:id="2105690829">
      <w:bodyDiv w:val="1"/>
      <w:marLeft w:val="0"/>
      <w:marRight w:val="0"/>
      <w:marTop w:val="0"/>
      <w:marBottom w:val="0"/>
      <w:divBdr>
        <w:top w:val="none" w:sz="0" w:space="0" w:color="auto"/>
        <w:left w:val="none" w:sz="0" w:space="0" w:color="auto"/>
        <w:bottom w:val="none" w:sz="0" w:space="0" w:color="auto"/>
        <w:right w:val="none" w:sz="0" w:space="0" w:color="auto"/>
      </w:divBdr>
    </w:div>
    <w:div w:id="2109304957">
      <w:bodyDiv w:val="1"/>
      <w:marLeft w:val="0"/>
      <w:marRight w:val="0"/>
      <w:marTop w:val="0"/>
      <w:marBottom w:val="0"/>
      <w:divBdr>
        <w:top w:val="none" w:sz="0" w:space="0" w:color="auto"/>
        <w:left w:val="none" w:sz="0" w:space="0" w:color="auto"/>
        <w:bottom w:val="none" w:sz="0" w:space="0" w:color="auto"/>
        <w:right w:val="none" w:sz="0" w:space="0" w:color="auto"/>
      </w:divBdr>
    </w:div>
    <w:div w:id="2116440468">
      <w:bodyDiv w:val="1"/>
      <w:marLeft w:val="0"/>
      <w:marRight w:val="0"/>
      <w:marTop w:val="0"/>
      <w:marBottom w:val="0"/>
      <w:divBdr>
        <w:top w:val="none" w:sz="0" w:space="0" w:color="auto"/>
        <w:left w:val="none" w:sz="0" w:space="0" w:color="auto"/>
        <w:bottom w:val="none" w:sz="0" w:space="0" w:color="auto"/>
        <w:right w:val="none" w:sz="0" w:space="0" w:color="auto"/>
      </w:divBdr>
    </w:div>
    <w:div w:id="2126465633">
      <w:bodyDiv w:val="1"/>
      <w:marLeft w:val="0"/>
      <w:marRight w:val="0"/>
      <w:marTop w:val="0"/>
      <w:marBottom w:val="0"/>
      <w:divBdr>
        <w:top w:val="none" w:sz="0" w:space="0" w:color="auto"/>
        <w:left w:val="none" w:sz="0" w:space="0" w:color="auto"/>
        <w:bottom w:val="none" w:sz="0" w:space="0" w:color="auto"/>
        <w:right w:val="none" w:sz="0" w:space="0" w:color="auto"/>
      </w:divBdr>
    </w:div>
    <w:div w:id="2126535894">
      <w:bodyDiv w:val="1"/>
      <w:marLeft w:val="0"/>
      <w:marRight w:val="0"/>
      <w:marTop w:val="0"/>
      <w:marBottom w:val="0"/>
      <w:divBdr>
        <w:top w:val="none" w:sz="0" w:space="0" w:color="auto"/>
        <w:left w:val="none" w:sz="0" w:space="0" w:color="auto"/>
        <w:bottom w:val="none" w:sz="0" w:space="0" w:color="auto"/>
        <w:right w:val="none" w:sz="0" w:space="0" w:color="auto"/>
      </w:divBdr>
    </w:div>
    <w:div w:id="2137211493">
      <w:bodyDiv w:val="1"/>
      <w:marLeft w:val="0"/>
      <w:marRight w:val="0"/>
      <w:marTop w:val="0"/>
      <w:marBottom w:val="0"/>
      <w:divBdr>
        <w:top w:val="none" w:sz="0" w:space="0" w:color="auto"/>
        <w:left w:val="none" w:sz="0" w:space="0" w:color="auto"/>
        <w:bottom w:val="none" w:sz="0" w:space="0" w:color="auto"/>
        <w:right w:val="none" w:sz="0" w:space="0" w:color="auto"/>
      </w:divBdr>
    </w:div>
    <w:div w:id="2138059253">
      <w:bodyDiv w:val="1"/>
      <w:marLeft w:val="0"/>
      <w:marRight w:val="0"/>
      <w:marTop w:val="0"/>
      <w:marBottom w:val="0"/>
      <w:divBdr>
        <w:top w:val="none" w:sz="0" w:space="0" w:color="auto"/>
        <w:left w:val="none" w:sz="0" w:space="0" w:color="auto"/>
        <w:bottom w:val="none" w:sz="0" w:space="0" w:color="auto"/>
        <w:right w:val="none" w:sz="0" w:space="0" w:color="auto"/>
      </w:divBdr>
    </w:div>
    <w:div w:id="2141799222">
      <w:bodyDiv w:val="1"/>
      <w:marLeft w:val="0"/>
      <w:marRight w:val="0"/>
      <w:marTop w:val="0"/>
      <w:marBottom w:val="0"/>
      <w:divBdr>
        <w:top w:val="none" w:sz="0" w:space="0" w:color="auto"/>
        <w:left w:val="none" w:sz="0" w:space="0" w:color="auto"/>
        <w:bottom w:val="none" w:sz="0" w:space="0" w:color="auto"/>
        <w:right w:val="none" w:sz="0" w:space="0" w:color="auto"/>
      </w:divBdr>
    </w:div>
    <w:div w:id="2145925896">
      <w:bodyDiv w:val="1"/>
      <w:marLeft w:val="0"/>
      <w:marRight w:val="0"/>
      <w:marTop w:val="0"/>
      <w:marBottom w:val="0"/>
      <w:divBdr>
        <w:top w:val="none" w:sz="0" w:space="0" w:color="auto"/>
        <w:left w:val="none" w:sz="0" w:space="0" w:color="auto"/>
        <w:bottom w:val="none" w:sz="0" w:space="0" w:color="auto"/>
        <w:right w:val="none" w:sz="0" w:space="0" w:color="auto"/>
      </w:divBdr>
    </w:div>
    <w:div w:id="2146700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167</Pages>
  <Words>24232</Words>
  <Characters>138128</Characters>
  <Application>Microsoft Office Word</Application>
  <DocSecurity>0</DocSecurity>
  <Lines>1151</Lines>
  <Paragraphs>324</Paragraphs>
  <ScaleCrop>false</ScaleCrop>
  <Company>MicroSoft</Company>
  <LinksUpToDate>false</LinksUpToDate>
  <CharactersWithSpaces>162036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孙献</cp:lastModifiedBy>
  <cp:revision>30</cp:revision>
  <dcterms:created xsi:type="dcterms:W3CDTF">2024-08-30T02:49:00Z</dcterms:created>
  <dcterms:modified xsi:type="dcterms:W3CDTF">2024-08-30T09:24:00Z</dcterms:modified>
</cp:coreProperties>
</file>