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1581F9">
      <w:pPr>
        <w:spacing w:before="0" w:after="100" w:line="300" w:lineRule="exact"/>
        <w:jc w:val="left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ascii="宋体" w:hAnsi="宋体" w:eastAsia="宋体" w:cs="宋体"/>
          <w:sz w:val="21"/>
          <w:szCs w:val="21"/>
        </w:rPr>
        <w:t>证券代码：002042                  证券简称：华孚时尚                  公告编号：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2026-3</w:t>
      </w:r>
      <w:r>
        <w:rPr>
          <w:rFonts w:hint="eastAsia" w:ascii="宋体" w:hAnsi="宋体" w:cs="宋体"/>
          <w:sz w:val="21"/>
          <w:szCs w:val="21"/>
          <w:lang w:val="en-US" w:eastAsia="zh-CN"/>
        </w:rPr>
        <w:t>3</w:t>
      </w:r>
    </w:p>
    <w:p w14:paraId="4804EA46">
      <w:pPr>
        <w:spacing w:before="0" w:after="0" w:line="560" w:lineRule="exact"/>
        <w:jc w:val="center"/>
        <w:rPr>
          <w:rFonts w:ascii="宋体" w:hAnsi="宋体" w:eastAsia="宋体" w:cs="宋体"/>
          <w:b/>
          <w:bCs/>
          <w:sz w:val="30"/>
          <w:szCs w:val="30"/>
        </w:rPr>
      </w:pPr>
      <w:r>
        <w:rPr>
          <w:rFonts w:ascii="宋体" w:hAnsi="宋体" w:eastAsia="宋体" w:cs="宋体"/>
          <w:b/>
          <w:bCs/>
          <w:sz w:val="30"/>
          <w:szCs w:val="30"/>
        </w:rPr>
        <w:t>华孚时尚股份有限公司</w:t>
      </w:r>
    </w:p>
    <w:p w14:paraId="606E2629">
      <w:pPr>
        <w:spacing w:before="0" w:after="0" w:line="400" w:lineRule="exact"/>
        <w:jc w:val="center"/>
        <w:rPr>
          <w:rFonts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关于</w:t>
      </w:r>
      <w:bookmarkStart w:id="3" w:name="_GoBack"/>
      <w:bookmarkEnd w:id="3"/>
      <w:r>
        <w:rPr>
          <w:rFonts w:ascii="宋体" w:hAnsi="宋体" w:eastAsia="宋体" w:cs="宋体"/>
          <w:b/>
          <w:bCs/>
          <w:sz w:val="30"/>
          <w:szCs w:val="30"/>
        </w:rPr>
        <w:t>控股股东部分股份质押的公告</w:t>
      </w:r>
    </w:p>
    <w:p w14:paraId="2AC62AC1">
      <w:pPr>
        <w:autoSpaceDE w:val="0"/>
        <w:autoSpaceDN w:val="0"/>
        <w:adjustRightInd w:val="0"/>
        <w:ind w:firstLine="480" w:firstLineChars="200"/>
        <w:jc w:val="left"/>
        <w:rPr>
          <w:rFonts w:ascii="Times New Roman" w:hAnsi="Times New Roman" w:eastAsia="楷体_GB2312"/>
          <w:kern w:val="0"/>
          <w:sz w:val="24"/>
          <w:szCs w:val="24"/>
        </w:rPr>
      </w:pPr>
      <w:bookmarkStart w:id="0" w:name="_Toc988889"/>
    </w:p>
    <w:p w14:paraId="55D6C523">
      <w:pPr>
        <w:autoSpaceDE w:val="0"/>
        <w:autoSpaceDN w:val="0"/>
        <w:adjustRightInd w:val="0"/>
        <w:ind w:firstLine="480" w:firstLineChars="200"/>
        <w:jc w:val="left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ascii="Times New Roman" w:hAnsi="Times New Roman" w:eastAsia="楷体_GB2312"/>
          <w:kern w:val="0"/>
          <w:sz w:val="24"/>
          <w:szCs w:val="24"/>
        </w:rPr>
        <w:t>本公司及</w:t>
      </w:r>
      <w:r>
        <w:rPr>
          <w:rFonts w:hint="eastAsia" w:ascii="Times New Roman" w:hAnsi="Times New Roman" w:eastAsia="楷体_GB2312"/>
          <w:kern w:val="0"/>
          <w:sz w:val="24"/>
          <w:szCs w:val="24"/>
        </w:rPr>
        <w:t>董</w:t>
      </w:r>
      <w:r>
        <w:rPr>
          <w:rFonts w:ascii="Times New Roman" w:hAnsi="Times New Roman" w:eastAsia="楷体_GB2312"/>
          <w:kern w:val="0"/>
          <w:sz w:val="24"/>
          <w:szCs w:val="24"/>
        </w:rPr>
        <w:t>事会全体成员保证信息披露的内容真实、准确、完整，没有虚假记载、误导性陈述或重大遗漏。</w:t>
      </w:r>
    </w:p>
    <w:p w14:paraId="5698E8E4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0" w:line="360" w:lineRule="auto"/>
        <w:ind w:firstLine="560" w:firstLineChars="200"/>
        <w:jc w:val="left"/>
        <w:textAlignment w:val="auto"/>
        <w:outlineLvl w:val="1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ascii="宋体" w:hAnsi="宋体" w:eastAsia="宋体" w:cs="宋体"/>
          <w:b/>
          <w:bCs/>
          <w:sz w:val="28"/>
          <w:szCs w:val="28"/>
        </w:rPr>
        <w:t>一、股东股份质押（冻结或拍卖等）基本情况</w:t>
      </w:r>
      <w:bookmarkEnd w:id="0"/>
    </w:p>
    <w:p w14:paraId="7750E9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股东及其一致行动人所持股份涉及以下哪种情形：</w:t>
      </w:r>
    </w:p>
    <w:p w14:paraId="160CA0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sym w:font="Wingdings 2" w:char="F052"/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股份质押 □股份冻结 □股份拍卖</w:t>
      </w:r>
    </w:p>
    <w:p w14:paraId="667E0D1C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firstLine="42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华孚时尚股份有限公司（以下简称“公司”）近日接到控股股东华孚控股有限公司函告，获悉其所持有本公司的部分股份被质押，具体事项如下：</w:t>
      </w:r>
    </w:p>
    <w:p w14:paraId="2CE85C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（一）股东股份质押基本情况</w:t>
      </w:r>
    </w:p>
    <w:p w14:paraId="772237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jc w:val="both"/>
        <w:textAlignment w:val="auto"/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1．本次股份质押基本情况</w:t>
      </w:r>
    </w:p>
    <w:tbl>
      <w:tblPr>
        <w:tblStyle w:val="7"/>
        <w:tblW w:w="11732" w:type="dxa"/>
        <w:tblInd w:w="-944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144"/>
        <w:gridCol w:w="1154"/>
        <w:gridCol w:w="979"/>
        <w:gridCol w:w="997"/>
        <w:gridCol w:w="1190"/>
        <w:gridCol w:w="684"/>
        <w:gridCol w:w="1144"/>
        <w:gridCol w:w="1071"/>
        <w:gridCol w:w="1348"/>
        <w:gridCol w:w="1061"/>
      </w:tblGrid>
      <w:tr w14:paraId="7BE349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D3D3D3"/>
            <w:vAlign w:val="center"/>
          </w:tcPr>
          <w:p w14:paraId="2B603D13">
            <w:pPr>
              <w:spacing w:before="40" w:after="40" w:line="40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股东名称</w:t>
            </w:r>
          </w:p>
        </w:tc>
        <w:tc>
          <w:tcPr>
            <w:tcW w:w="114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D3D3D3"/>
            <w:vAlign w:val="center"/>
          </w:tcPr>
          <w:p w14:paraId="13DDA01C">
            <w:pPr>
              <w:spacing w:before="40" w:after="40" w:line="40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是否为控股股东或第一大股东及其一致行动人</w:t>
            </w:r>
          </w:p>
        </w:tc>
        <w:tc>
          <w:tcPr>
            <w:tcW w:w="11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D3D3D3"/>
            <w:vAlign w:val="center"/>
          </w:tcPr>
          <w:p w14:paraId="3740C175">
            <w:pPr>
              <w:spacing w:before="40" w:after="40" w:line="40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本次质押数量（股）</w:t>
            </w:r>
          </w:p>
        </w:tc>
        <w:tc>
          <w:tcPr>
            <w:tcW w:w="97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D3D3D3"/>
            <w:vAlign w:val="center"/>
          </w:tcPr>
          <w:p w14:paraId="396339B0">
            <w:pPr>
              <w:spacing w:before="40" w:after="40" w:line="40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占其所持股份比例（%）</w:t>
            </w:r>
          </w:p>
        </w:tc>
        <w:tc>
          <w:tcPr>
            <w:tcW w:w="9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D3D3D3"/>
            <w:vAlign w:val="center"/>
          </w:tcPr>
          <w:p w14:paraId="48484342">
            <w:pPr>
              <w:spacing w:before="40" w:after="40" w:line="40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占公司总股本比例（%）</w:t>
            </w:r>
          </w:p>
        </w:tc>
        <w:tc>
          <w:tcPr>
            <w:tcW w:w="119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D3D3D3"/>
            <w:vAlign w:val="center"/>
          </w:tcPr>
          <w:p w14:paraId="1E6863E1">
            <w:pPr>
              <w:spacing w:before="40" w:after="40" w:line="40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是否为限售股（如是，注明限售类型）</w:t>
            </w:r>
          </w:p>
        </w:tc>
        <w:tc>
          <w:tcPr>
            <w:tcW w:w="68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D3D3D3"/>
            <w:vAlign w:val="center"/>
          </w:tcPr>
          <w:p w14:paraId="50EC8CD0">
            <w:pPr>
              <w:spacing w:before="40" w:after="40" w:line="40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是否为补充质押</w:t>
            </w:r>
          </w:p>
        </w:tc>
        <w:tc>
          <w:tcPr>
            <w:tcW w:w="114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D3D3D3"/>
            <w:vAlign w:val="center"/>
          </w:tcPr>
          <w:p w14:paraId="7765E796">
            <w:pPr>
              <w:spacing w:before="40" w:after="40" w:line="40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质押起始日</w:t>
            </w:r>
          </w:p>
        </w:tc>
        <w:tc>
          <w:tcPr>
            <w:tcW w:w="107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D3D3D3"/>
            <w:vAlign w:val="center"/>
          </w:tcPr>
          <w:p w14:paraId="5C53D9DD">
            <w:pPr>
              <w:spacing w:before="40" w:after="40" w:line="40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质押到期日</w:t>
            </w:r>
          </w:p>
        </w:tc>
        <w:tc>
          <w:tcPr>
            <w:tcW w:w="134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D3D3D3"/>
            <w:vAlign w:val="center"/>
          </w:tcPr>
          <w:p w14:paraId="28193F2E">
            <w:pPr>
              <w:spacing w:before="40" w:after="40" w:line="40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质权人</w:t>
            </w:r>
          </w:p>
        </w:tc>
        <w:tc>
          <w:tcPr>
            <w:tcW w:w="106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D3D3D3"/>
            <w:vAlign w:val="center"/>
          </w:tcPr>
          <w:p w14:paraId="4A96C429">
            <w:pPr>
              <w:spacing w:before="40" w:after="40" w:line="40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质押用途</w:t>
            </w:r>
          </w:p>
        </w:tc>
      </w:tr>
      <w:tr w14:paraId="4D3993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400" w:hRule="atLeast"/>
        </w:trPr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269D145">
            <w:pPr>
              <w:spacing w:before="0" w:after="0" w:line="40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华孚控股有限公司</w:t>
            </w:r>
          </w:p>
        </w:tc>
        <w:tc>
          <w:tcPr>
            <w:tcW w:w="114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DA8DE11">
            <w:pPr>
              <w:spacing w:before="0" w:after="0" w:line="40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是</w:t>
            </w:r>
          </w:p>
        </w:tc>
        <w:tc>
          <w:tcPr>
            <w:tcW w:w="11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56EB06D">
            <w:pPr>
              <w:spacing w:before="0" w:after="0" w:line="40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45,000,000</w:t>
            </w:r>
          </w:p>
        </w:tc>
        <w:tc>
          <w:tcPr>
            <w:tcW w:w="97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D09A988">
            <w:pPr>
              <w:spacing w:before="0" w:after="0" w:line="40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11.21%</w:t>
            </w:r>
          </w:p>
        </w:tc>
        <w:tc>
          <w:tcPr>
            <w:tcW w:w="9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89E9550">
            <w:pPr>
              <w:spacing w:before="0" w:after="0" w:line="40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2.65%</w:t>
            </w:r>
          </w:p>
        </w:tc>
        <w:tc>
          <w:tcPr>
            <w:tcW w:w="119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8C6C505">
            <w:pPr>
              <w:spacing w:before="0" w:after="0" w:line="40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否</w:t>
            </w:r>
          </w:p>
        </w:tc>
        <w:tc>
          <w:tcPr>
            <w:tcW w:w="68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A5E5813">
            <w:pPr>
              <w:spacing w:before="0" w:after="0" w:line="40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否</w:t>
            </w:r>
          </w:p>
        </w:tc>
        <w:tc>
          <w:tcPr>
            <w:tcW w:w="114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C1C8C91">
            <w:pPr>
              <w:spacing w:before="0" w:after="0" w:line="40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2026年07月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17</w:t>
            </w:r>
            <w:r>
              <w:rPr>
                <w:rFonts w:ascii="宋体" w:hAnsi="宋体" w:eastAsia="宋体" w:cs="宋体"/>
                <w:sz w:val="18"/>
                <w:szCs w:val="18"/>
              </w:rPr>
              <w:t>日</w:t>
            </w:r>
          </w:p>
        </w:tc>
        <w:tc>
          <w:tcPr>
            <w:tcW w:w="107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D7AB889">
            <w:pPr>
              <w:spacing w:before="0" w:after="0" w:line="40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2027年07月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16</w:t>
            </w:r>
            <w:r>
              <w:rPr>
                <w:rFonts w:ascii="宋体" w:hAnsi="宋体" w:eastAsia="宋体" w:cs="宋体"/>
                <w:sz w:val="18"/>
                <w:szCs w:val="18"/>
              </w:rPr>
              <w:t>日</w:t>
            </w:r>
          </w:p>
        </w:tc>
        <w:tc>
          <w:tcPr>
            <w:tcW w:w="134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5E59612">
            <w:pPr>
              <w:spacing w:before="0" w:after="0" w:line="40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中国银河证券股份有限公司</w:t>
            </w:r>
          </w:p>
        </w:tc>
        <w:tc>
          <w:tcPr>
            <w:tcW w:w="106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11A80DF">
            <w:pPr>
              <w:spacing w:before="0" w:after="0" w:line="40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补充流动资金等</w:t>
            </w:r>
          </w:p>
        </w:tc>
      </w:tr>
      <w:tr w14:paraId="5BEEFC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41C0D73">
            <w:pPr>
              <w:spacing w:before="40" w:after="40" w:line="40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合计</w:t>
            </w:r>
          </w:p>
        </w:tc>
        <w:tc>
          <w:tcPr>
            <w:tcW w:w="114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FB80A4A">
            <w:pPr>
              <w:spacing w:before="40" w:after="40" w:line="40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——</w:t>
            </w:r>
          </w:p>
        </w:tc>
        <w:tc>
          <w:tcPr>
            <w:tcW w:w="11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71F3681">
            <w:pPr>
              <w:spacing w:before="0" w:after="0" w:line="40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45,000,000</w:t>
            </w:r>
          </w:p>
        </w:tc>
        <w:tc>
          <w:tcPr>
            <w:tcW w:w="97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034CBC8">
            <w:pPr>
              <w:spacing w:before="0" w:after="0" w:line="40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11.21%</w:t>
            </w:r>
          </w:p>
        </w:tc>
        <w:tc>
          <w:tcPr>
            <w:tcW w:w="9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3652C28">
            <w:pPr>
              <w:spacing w:before="0" w:after="0" w:line="40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2.65%</w:t>
            </w:r>
          </w:p>
        </w:tc>
        <w:tc>
          <w:tcPr>
            <w:tcW w:w="119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234EE88">
            <w:pPr>
              <w:spacing w:before="40" w:after="40" w:line="40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——</w:t>
            </w:r>
          </w:p>
        </w:tc>
        <w:tc>
          <w:tcPr>
            <w:tcW w:w="68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204492D">
            <w:pPr>
              <w:spacing w:before="40" w:after="40" w:line="40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——</w:t>
            </w:r>
          </w:p>
        </w:tc>
        <w:tc>
          <w:tcPr>
            <w:tcW w:w="114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D46A761">
            <w:pPr>
              <w:spacing w:before="40" w:after="40" w:line="40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——</w:t>
            </w:r>
          </w:p>
        </w:tc>
        <w:tc>
          <w:tcPr>
            <w:tcW w:w="107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5D88DCA">
            <w:pPr>
              <w:spacing w:before="40" w:after="40" w:line="40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——</w:t>
            </w:r>
          </w:p>
        </w:tc>
        <w:tc>
          <w:tcPr>
            <w:tcW w:w="134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20A0191">
            <w:pPr>
              <w:spacing w:before="40" w:after="40" w:line="40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——</w:t>
            </w:r>
          </w:p>
        </w:tc>
        <w:tc>
          <w:tcPr>
            <w:tcW w:w="106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70C7F0F">
            <w:pPr>
              <w:spacing w:before="40" w:after="40" w:line="40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——</w:t>
            </w:r>
          </w:p>
        </w:tc>
      </w:tr>
    </w:tbl>
    <w:p w14:paraId="5570F5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2．股东股份累计质押情况</w:t>
      </w:r>
    </w:p>
    <w:p w14:paraId="4F62EF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eastAsia="宋体"/>
          <w:lang w:val="en-US" w:eastAsia="zh-CN"/>
        </w:rPr>
      </w:pPr>
      <w:r>
        <w:rPr>
          <w:rFonts w:ascii="宋体" w:hAnsi="宋体" w:eastAsia="宋体" w:cs="宋体"/>
          <w:sz w:val="21"/>
          <w:szCs w:val="21"/>
        </w:rPr>
        <w:t>截至公告披露日，上述股东及其一致行动人所持质押股份情况如下：</w:t>
      </w:r>
    </w:p>
    <w:tbl>
      <w:tblPr>
        <w:tblStyle w:val="7"/>
        <w:tblW w:w="11742" w:type="dxa"/>
        <w:tblInd w:w="-935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9"/>
        <w:gridCol w:w="1237"/>
        <w:gridCol w:w="868"/>
        <w:gridCol w:w="1071"/>
        <w:gridCol w:w="1170"/>
        <w:gridCol w:w="876"/>
        <w:gridCol w:w="876"/>
        <w:gridCol w:w="1388"/>
        <w:gridCol w:w="1062"/>
        <w:gridCol w:w="1209"/>
        <w:gridCol w:w="1016"/>
      </w:tblGrid>
      <w:tr w14:paraId="182702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6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D3D3D3"/>
            <w:vAlign w:val="center"/>
          </w:tcPr>
          <w:p w14:paraId="5FFDE78E">
            <w:pPr>
              <w:spacing w:before="40" w:after="40" w:line="40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股东名称</w:t>
            </w:r>
          </w:p>
        </w:tc>
        <w:tc>
          <w:tcPr>
            <w:tcW w:w="123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D3D3D3"/>
            <w:vAlign w:val="center"/>
          </w:tcPr>
          <w:p w14:paraId="2F79F737">
            <w:pPr>
              <w:spacing w:before="40" w:after="40" w:line="40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持股数量（股）</w:t>
            </w:r>
          </w:p>
        </w:tc>
        <w:tc>
          <w:tcPr>
            <w:tcW w:w="86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D3D3D3"/>
            <w:vAlign w:val="center"/>
          </w:tcPr>
          <w:p w14:paraId="724FBF2A">
            <w:pPr>
              <w:spacing w:before="40" w:after="40" w:line="40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持股比例（%）</w:t>
            </w:r>
          </w:p>
        </w:tc>
        <w:tc>
          <w:tcPr>
            <w:tcW w:w="107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D3D3D3"/>
            <w:vAlign w:val="center"/>
          </w:tcPr>
          <w:p w14:paraId="01A2B3D0">
            <w:pPr>
              <w:spacing w:before="40" w:after="40" w:line="40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本次质押前质押股份数量（股）</w:t>
            </w:r>
          </w:p>
        </w:tc>
        <w:tc>
          <w:tcPr>
            <w:tcW w:w="1170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D3D3D3"/>
            <w:vAlign w:val="center"/>
          </w:tcPr>
          <w:p w14:paraId="5352A3A9">
            <w:pPr>
              <w:spacing w:before="40" w:after="40" w:line="40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本次质押后质押股份数量（股）</w:t>
            </w:r>
          </w:p>
        </w:tc>
        <w:tc>
          <w:tcPr>
            <w:tcW w:w="8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D3D3D3"/>
            <w:vAlign w:val="center"/>
          </w:tcPr>
          <w:p w14:paraId="337BF8C8">
            <w:pPr>
              <w:spacing w:before="40" w:after="40" w:line="40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占其所持股份比例（%）</w:t>
            </w:r>
          </w:p>
        </w:tc>
        <w:tc>
          <w:tcPr>
            <w:tcW w:w="8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D3D3D3"/>
            <w:vAlign w:val="center"/>
          </w:tcPr>
          <w:p w14:paraId="264E6532">
            <w:pPr>
              <w:spacing w:before="40" w:after="40" w:line="40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占公司总股本比例（%）</w:t>
            </w:r>
          </w:p>
        </w:tc>
        <w:tc>
          <w:tcPr>
            <w:tcW w:w="245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D3D3D3"/>
            <w:vAlign w:val="center"/>
          </w:tcPr>
          <w:p w14:paraId="36BDE31F">
            <w:pPr>
              <w:spacing w:before="40" w:after="40" w:line="40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已质押股份情况</w:t>
            </w:r>
          </w:p>
        </w:tc>
        <w:tc>
          <w:tcPr>
            <w:tcW w:w="222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D3D3D3"/>
            <w:vAlign w:val="center"/>
          </w:tcPr>
          <w:p w14:paraId="7243A5BE">
            <w:pPr>
              <w:spacing w:before="40" w:after="40" w:line="40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未质押股份情况</w:t>
            </w:r>
          </w:p>
        </w:tc>
      </w:tr>
      <w:tr w14:paraId="0B90CC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69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D3D3D3"/>
            <w:vAlign w:val="center"/>
          </w:tcPr>
          <w:p w14:paraId="77182E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D3D3D3"/>
            <w:vAlign w:val="center"/>
          </w:tcPr>
          <w:p w14:paraId="32F274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D3D3D3"/>
            <w:vAlign w:val="center"/>
          </w:tcPr>
          <w:p w14:paraId="2C0381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D3D3D3"/>
            <w:vAlign w:val="center"/>
          </w:tcPr>
          <w:p w14:paraId="5FA9F2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D3D3D3"/>
            <w:vAlign w:val="center"/>
          </w:tcPr>
          <w:p w14:paraId="003F39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D3D3D3"/>
            <w:vAlign w:val="center"/>
          </w:tcPr>
          <w:p w14:paraId="7F6E41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D3D3D3"/>
            <w:vAlign w:val="center"/>
          </w:tcPr>
          <w:p w14:paraId="136974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D3D3D3"/>
            <w:vAlign w:val="center"/>
          </w:tcPr>
          <w:p w14:paraId="3B326C0A">
            <w:pPr>
              <w:spacing w:before="40" w:after="40" w:line="40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已质押股份限售和冻结、标记数量（股）</w:t>
            </w:r>
          </w:p>
        </w:tc>
        <w:tc>
          <w:tcPr>
            <w:tcW w:w="106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D3D3D3"/>
            <w:vAlign w:val="center"/>
          </w:tcPr>
          <w:p w14:paraId="53B573E9">
            <w:pPr>
              <w:spacing w:before="40" w:after="40" w:line="40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占已质押股份比例（%）</w:t>
            </w:r>
          </w:p>
        </w:tc>
        <w:tc>
          <w:tcPr>
            <w:tcW w:w="12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D3D3D3"/>
            <w:vAlign w:val="center"/>
          </w:tcPr>
          <w:p w14:paraId="07A1EB7A">
            <w:pPr>
              <w:spacing w:before="40" w:after="40" w:line="40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未质押股份限售和冻结数量（股）</w:t>
            </w:r>
          </w:p>
        </w:tc>
        <w:tc>
          <w:tcPr>
            <w:tcW w:w="101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D3D3D3"/>
            <w:vAlign w:val="center"/>
          </w:tcPr>
          <w:p w14:paraId="10FE0073">
            <w:pPr>
              <w:spacing w:before="40" w:after="40" w:line="40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占未质押股份比例（%）</w:t>
            </w:r>
          </w:p>
        </w:tc>
      </w:tr>
      <w:tr w14:paraId="6D2EEB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6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7F9B45A">
            <w:pPr>
              <w:spacing w:before="0" w:after="0" w:line="40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华孚控股有限公司</w:t>
            </w:r>
          </w:p>
        </w:tc>
        <w:tc>
          <w:tcPr>
            <w:tcW w:w="123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3044049">
            <w:pPr>
              <w:spacing w:before="0" w:after="0" w:line="40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401,315,662</w:t>
            </w:r>
          </w:p>
        </w:tc>
        <w:tc>
          <w:tcPr>
            <w:tcW w:w="86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2958ECE">
            <w:pPr>
              <w:spacing w:before="0" w:after="0" w:line="40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23.60%</w:t>
            </w:r>
          </w:p>
        </w:tc>
        <w:tc>
          <w:tcPr>
            <w:tcW w:w="107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FD63A39">
            <w:pPr>
              <w:spacing w:before="0" w:after="0" w:line="40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7E216CC">
            <w:pPr>
              <w:spacing w:before="0" w:after="0" w:line="40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45,000,000</w:t>
            </w:r>
          </w:p>
        </w:tc>
        <w:tc>
          <w:tcPr>
            <w:tcW w:w="8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FF34FE3">
            <w:pPr>
              <w:spacing w:before="0" w:after="0" w:line="40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11.21%</w:t>
            </w:r>
          </w:p>
        </w:tc>
        <w:tc>
          <w:tcPr>
            <w:tcW w:w="8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E67D125">
            <w:pPr>
              <w:spacing w:before="0" w:after="0" w:line="40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2.65%</w:t>
            </w:r>
          </w:p>
        </w:tc>
        <w:tc>
          <w:tcPr>
            <w:tcW w:w="13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C28355E">
            <w:pPr>
              <w:spacing w:before="0" w:after="0" w:line="40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106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9EEABCC">
            <w:pPr>
              <w:spacing w:before="0" w:after="0" w:line="40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0.00%</w:t>
            </w:r>
          </w:p>
        </w:tc>
        <w:tc>
          <w:tcPr>
            <w:tcW w:w="12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D3E9A8A">
            <w:pPr>
              <w:spacing w:before="0" w:after="0" w:line="40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6DA896B">
            <w:pPr>
              <w:spacing w:before="0" w:after="0" w:line="40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0.00%</w:t>
            </w:r>
          </w:p>
        </w:tc>
      </w:tr>
      <w:tr w14:paraId="0D0965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6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E83CA4A">
            <w:pPr>
              <w:spacing w:before="40" w:after="40" w:line="40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合计</w:t>
            </w:r>
          </w:p>
        </w:tc>
        <w:tc>
          <w:tcPr>
            <w:tcW w:w="123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1CA5033">
            <w:pPr>
              <w:spacing w:before="0" w:after="0" w:line="40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401,315,662</w:t>
            </w:r>
          </w:p>
        </w:tc>
        <w:tc>
          <w:tcPr>
            <w:tcW w:w="86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1184EAF">
            <w:pPr>
              <w:spacing w:before="0" w:after="0" w:line="40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23.60%</w:t>
            </w:r>
          </w:p>
        </w:tc>
        <w:tc>
          <w:tcPr>
            <w:tcW w:w="107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2C43972">
            <w:pPr>
              <w:spacing w:before="0" w:after="0" w:line="40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62ADBEA">
            <w:pPr>
              <w:spacing w:before="0" w:after="0" w:line="40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45,000,000</w:t>
            </w:r>
          </w:p>
        </w:tc>
        <w:tc>
          <w:tcPr>
            <w:tcW w:w="8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78C2099">
            <w:pPr>
              <w:spacing w:before="0" w:after="0" w:line="40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11.21%</w:t>
            </w:r>
          </w:p>
        </w:tc>
        <w:tc>
          <w:tcPr>
            <w:tcW w:w="8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140E4E8">
            <w:pPr>
              <w:spacing w:before="0" w:after="0" w:line="40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2.65%</w:t>
            </w:r>
          </w:p>
        </w:tc>
        <w:tc>
          <w:tcPr>
            <w:tcW w:w="13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70D1844">
            <w:pPr>
              <w:spacing w:before="0" w:after="0" w:line="40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106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4B55057">
            <w:pPr>
              <w:spacing w:before="0" w:after="0" w:line="40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0.00%</w:t>
            </w:r>
          </w:p>
        </w:tc>
        <w:tc>
          <w:tcPr>
            <w:tcW w:w="12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4540B9E">
            <w:pPr>
              <w:spacing w:before="0" w:after="0" w:line="40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376CE19">
            <w:pPr>
              <w:spacing w:before="0" w:after="0" w:line="400" w:lineRule="exact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0.00%</w:t>
            </w:r>
          </w:p>
        </w:tc>
      </w:tr>
    </w:tbl>
    <w:p w14:paraId="22AFBABA">
      <w:pPr>
        <w:spacing w:before="100" w:after="100" w:line="400" w:lineRule="exact"/>
        <w:ind w:firstLine="420" w:firstLineChars="200"/>
        <w:jc w:val="left"/>
        <w:rPr>
          <w:rFonts w:ascii="宋体" w:hAnsi="宋体" w:eastAsia="宋体" w:cs="宋体"/>
          <w:sz w:val="21"/>
          <w:szCs w:val="21"/>
        </w:rPr>
      </w:pPr>
    </w:p>
    <w:p w14:paraId="35EE6D4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jc w:val="both"/>
        <w:textAlignment w:val="auto"/>
        <w:rPr>
          <w:rFonts w:ascii="宋体" w:hAnsi="宋体" w:eastAsia="宋体" w:cs="宋体"/>
          <w:b/>
          <w:bCs/>
          <w:sz w:val="21"/>
          <w:szCs w:val="21"/>
        </w:rPr>
      </w:pPr>
      <w:r>
        <w:rPr>
          <w:rFonts w:ascii="宋体" w:hAnsi="宋体" w:eastAsia="宋体" w:cs="宋体"/>
          <w:b/>
          <w:bCs/>
          <w:sz w:val="21"/>
          <w:szCs w:val="21"/>
        </w:rPr>
        <w:t>（二）控股股东或第一大股东及其一致行动人股份质押情况</w:t>
      </w:r>
    </w:p>
    <w:p w14:paraId="36DD40D7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420" w:firstLineChars="200"/>
        <w:jc w:val="both"/>
        <w:textAlignment w:val="auto"/>
      </w:pPr>
      <w:r>
        <w:rPr>
          <w:rFonts w:hint="eastAsia" w:ascii="宋体" w:hAnsi="宋体" w:eastAsia="宋体" w:cs="宋体"/>
          <w:sz w:val="21"/>
          <w:szCs w:val="21"/>
        </w:rPr>
        <w:t>1、公司控股股东华孚控股有限公司资信状况良好，具有相应的资金偿还能力；</w:t>
      </w:r>
    </w:p>
    <w:p w14:paraId="14E4B14C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420" w:firstLineChars="200"/>
        <w:jc w:val="both"/>
        <w:textAlignment w:val="auto"/>
      </w:pPr>
      <w:r>
        <w:rPr>
          <w:rFonts w:hint="eastAsia" w:ascii="宋体" w:hAnsi="宋体" w:eastAsia="宋体" w:cs="宋体"/>
          <w:sz w:val="21"/>
          <w:szCs w:val="21"/>
        </w:rPr>
        <w:t>2、公司控股股东本次质押股份数量占其所持公司股份数量比例为11.21%，占公司总股本比例2.65%，本次股份质押事项不会对公司的生产经营及公司治理产生影响，不会导致公司控制权的变更。</w:t>
      </w:r>
    </w:p>
    <w:p w14:paraId="5E21D132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420" w:firstLineChars="200"/>
        <w:jc w:val="both"/>
        <w:textAlignment w:val="auto"/>
      </w:pPr>
      <w:r>
        <w:rPr>
          <w:rFonts w:hint="eastAsia" w:ascii="宋体" w:hAnsi="宋体" w:eastAsia="宋体" w:cs="宋体"/>
          <w:color w:val="333333"/>
          <w:sz w:val="21"/>
          <w:szCs w:val="21"/>
          <w:shd w:val="clear" w:fill="FFFFFF"/>
        </w:rPr>
        <w:t>公司将持续关注本次股份质押事项以及后续进展，严格履行信息披露义务，敬请广大投资者注意投资风险。</w:t>
      </w:r>
    </w:p>
    <w:p w14:paraId="3AFED400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560" w:firstLineChars="200"/>
        <w:jc w:val="left"/>
        <w:textAlignment w:val="auto"/>
        <w:outlineLvl w:val="1"/>
        <w:rPr>
          <w:rFonts w:ascii="宋体" w:hAnsi="宋体" w:eastAsia="宋体" w:cs="宋体"/>
          <w:b/>
          <w:bCs/>
          <w:sz w:val="28"/>
          <w:szCs w:val="28"/>
        </w:rPr>
      </w:pPr>
      <w:bookmarkStart w:id="1" w:name="_Toc988890"/>
      <w:r>
        <w:rPr>
          <w:rFonts w:ascii="宋体" w:hAnsi="宋体" w:eastAsia="宋体" w:cs="宋体"/>
          <w:b/>
          <w:bCs/>
          <w:sz w:val="28"/>
          <w:szCs w:val="28"/>
        </w:rPr>
        <w:t>二、备查文件</w:t>
      </w:r>
      <w:bookmarkEnd w:id="1"/>
    </w:p>
    <w:p w14:paraId="50105009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jc w:val="both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1"/>
          <w:szCs w:val="21"/>
        </w:rPr>
        <w:t>1、股份质押登记证明</w:t>
      </w:r>
      <w:bookmarkStart w:id="2" w:name="_Toc988891"/>
      <w:bookmarkEnd w:id="2"/>
    </w:p>
    <w:p w14:paraId="4191FF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420" w:firstLineChars="200"/>
        <w:jc w:val="both"/>
        <w:textAlignment w:val="auto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特此公告。</w:t>
      </w:r>
    </w:p>
    <w:p w14:paraId="4CD82C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华孚时尚股份有限公司</w:t>
      </w:r>
    </w:p>
    <w:p w14:paraId="1D3011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董事会</w:t>
      </w:r>
    </w:p>
    <w:p w14:paraId="41BC06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二〇二六年七月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十八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日</w:t>
      </w:r>
    </w:p>
    <w:sectPr>
      <w:headerReference r:id="rId3" w:type="default"/>
      <w:footerReference r:id="rId4" w:type="default"/>
      <w:pgSz w:w="11905" w:h="16840"/>
      <w:pgMar w:top="1440" w:right="1134" w:bottom="1440" w:left="1134" w:header="850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512908">
    <w:pPr>
      <w:pStyle w:val="11"/>
    </w:pPr>
    <w:r>
      <w:fldChar w:fldCharType="begin"/>
    </w:r>
    <w:r>
      <w:instrText xml:space="preserve">PAGE   \* MERGEFORMAT</w:instrText>
    </w:r>
    <w:r>
      <w:fldChar w:fldCharType="separate"/>
    </w:r>
    <w:r>
      <w:t>1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13327E">
    <w:pPr>
      <w:pStyle w:val="9"/>
      <w:pBdr>
        <w:bottom w:val="none" w:color="auto" w:sz="0" w:space="1"/>
      </w:pBd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compat>
    <w:doNotExpandShiftReturn/>
    <w:useFELayout/>
    <w:compatSetting w:name="compatibilityMode" w:uri="http://schemas.microsoft.com/office/word" w:val="14"/>
  </w:compat>
  <w:rsids>
    <w:rsidRoot w:val="00000000"/>
    <w:rsid w:val="09CC0B51"/>
    <w:rsid w:val="108E3427"/>
    <w:rsid w:val="127B579B"/>
    <w:rsid w:val="14860B08"/>
    <w:rsid w:val="182A0F84"/>
    <w:rsid w:val="24364BA7"/>
    <w:rsid w:val="43A4668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left"/>
    </w:pPr>
    <w:rPr>
      <w:rFonts w:ascii="Times New Roman" w:hAnsi="Times New Roman" w:eastAsia="宋体" w:cs="Times New Roman"/>
      <w:sz w:val="21"/>
      <w:szCs w:val="22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156" w:after="156" w:line="240" w:lineRule="auto"/>
      <w:outlineLvl w:val="1"/>
    </w:pPr>
    <w:rPr>
      <w:sz w:val="21"/>
      <w:szCs w:val="21"/>
    </w:rPr>
  </w:style>
  <w:style w:type="paragraph" w:styleId="3">
    <w:name w:val="heading 3"/>
    <w:basedOn w:val="1"/>
    <w:next w:val="1"/>
    <w:qFormat/>
    <w:uiPriority w:val="99"/>
    <w:pPr>
      <w:keepNext/>
      <w:keepLines/>
      <w:spacing w:before="300" w:after="300" w:line="241" w:lineRule="auto"/>
      <w:jc w:val="both"/>
      <w:outlineLvl w:val="2"/>
    </w:pPr>
    <w:rPr>
      <w:rFonts w:eastAsia="宋体"/>
      <w:sz w:val="21"/>
      <w:szCs w:val="21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1"/>
    <w:basedOn w:val="1"/>
    <w:next w:val="1"/>
    <w:autoRedefine/>
    <w:qFormat/>
    <w:uiPriority w:val="39"/>
  </w:style>
  <w:style w:type="paragraph" w:styleId="5">
    <w:name w:val="toc 2"/>
    <w:basedOn w:val="1"/>
    <w:next w:val="1"/>
    <w:autoRedefine/>
    <w:unhideWhenUsed/>
    <w:qFormat/>
    <w:uiPriority w:val="39"/>
    <w:pPr>
      <w:ind w:left="420" w:leftChars="200"/>
    </w:pPr>
  </w:style>
  <w:style w:type="paragraph" w:styleId="6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9">
    <w:name w:val="Header 1"/>
    <w:qFormat/>
    <w:uiPriority w:val="0"/>
    <w:pPr>
      <w:jc w:val="right"/>
    </w:pPr>
    <w:rPr>
      <w:rFonts w:ascii="宋体" w:hAnsi="Times New Roman" w:eastAsia="宋体" w:cs="Times New Roman"/>
      <w:sz w:val="18"/>
      <w:szCs w:val="18"/>
    </w:rPr>
  </w:style>
  <w:style w:type="paragraph" w:customStyle="1" w:styleId="10">
    <w:name w:val="heading h1"/>
    <w:basedOn w:val="1"/>
    <w:next w:val="1"/>
    <w:qFormat/>
    <w:uiPriority w:val="9"/>
    <w:pPr>
      <w:keepNext/>
      <w:keepLines/>
      <w:spacing w:before="240" w:after="240" w:line="578" w:lineRule="auto"/>
      <w:outlineLvl w:val="0"/>
    </w:pPr>
    <w:rPr>
      <w:kern w:val="44"/>
      <w:sz w:val="44"/>
      <w:szCs w:val="44"/>
    </w:rPr>
  </w:style>
  <w:style w:type="paragraph" w:customStyle="1" w:styleId="11">
    <w:name w:val="fotter 1"/>
    <w:qFormat/>
    <w:uiPriority w:val="0"/>
    <w:pPr>
      <w:jc w:val="right"/>
    </w:pPr>
    <w:rPr>
      <w:rFonts w:ascii="宋体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840</Words>
  <Characters>988</Characters>
  <TotalTime>10</TotalTime>
  <ScaleCrop>false</ScaleCrop>
  <LinksUpToDate>false</LinksUpToDate>
  <CharactersWithSpaces>1026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2026-07-01T07:52:00Z</dcterms:created>
  <dc:creator>wangshuying</dc:creator>
  <cp:lastModifiedBy>WSY</cp:lastModifiedBy>
  <dcterms:modified xsi:type="dcterms:W3CDTF">2026-07-17T09:35:03Z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eyJoZGlkIjoiYzAzYzc4OWY4MzI0OGU5NmNmYjc1OGMxNDQ2Zjg0YzciLCJ1c2VySWQiOiIyNjU0NTI1NDMifQ==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C166A6C8FA4A41F98A0DAFC96ACDD3BB_12</vt:lpwstr>
  </property>
</Properties>
</file>