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D14C03">
      <w:pPr>
        <w:spacing w:before="0" w:after="100" w:line="300" w:lineRule="exact"/>
        <w:jc w:val="left"/>
        <w:rPr>
          <w:rFonts w:hint="eastAsia" w:ascii="宋体" w:hAnsi="宋体" w:eastAsia="宋体" w:cs="宋体"/>
          <w:sz w:val="21"/>
          <w:szCs w:val="21"/>
          <w:lang w:val="en-US" w:eastAsia="zh-CN"/>
        </w:rPr>
      </w:pPr>
      <w:r>
        <w:rPr>
          <w:rFonts w:ascii="宋体" w:hAnsi="宋体" w:eastAsia="宋体" w:cs="宋体"/>
          <w:sz w:val="21"/>
          <w:szCs w:val="21"/>
        </w:rPr>
        <w:t>证券代码：002042                  证券简称：华孚时尚                  公告编号：2026-3</w:t>
      </w:r>
      <w:r>
        <w:rPr>
          <w:rFonts w:hint="eastAsia" w:ascii="宋体" w:hAnsi="宋体" w:eastAsia="宋体" w:cs="宋体"/>
          <w:sz w:val="21"/>
          <w:szCs w:val="21"/>
          <w:lang w:val="en-US" w:eastAsia="zh-CN"/>
        </w:rPr>
        <w:t>2</w:t>
      </w:r>
    </w:p>
    <w:p w14:paraId="15C19EDE">
      <w:pPr>
        <w:spacing w:before="0" w:after="0" w:line="560" w:lineRule="exact"/>
        <w:jc w:val="center"/>
        <w:rPr>
          <w:rFonts w:ascii="宋体" w:hAnsi="宋体" w:eastAsia="宋体" w:cs="宋体"/>
          <w:b/>
          <w:bCs/>
          <w:sz w:val="30"/>
          <w:szCs w:val="30"/>
        </w:rPr>
      </w:pPr>
      <w:r>
        <w:rPr>
          <w:rFonts w:ascii="宋体" w:hAnsi="宋体" w:eastAsia="宋体" w:cs="宋体"/>
          <w:b/>
          <w:bCs/>
          <w:sz w:val="30"/>
          <w:szCs w:val="30"/>
        </w:rPr>
        <w:t>华孚时尚股份有限公司</w:t>
      </w:r>
    </w:p>
    <w:p w14:paraId="507A93F6">
      <w:pPr>
        <w:spacing w:before="0" w:after="0" w:line="560" w:lineRule="exact"/>
        <w:jc w:val="center"/>
        <w:rPr>
          <w:rFonts w:ascii="宋体" w:hAnsi="宋体" w:eastAsia="宋体" w:cs="宋体"/>
          <w:b/>
          <w:bCs/>
          <w:sz w:val="30"/>
          <w:szCs w:val="30"/>
        </w:rPr>
      </w:pPr>
      <w:r>
        <w:rPr>
          <w:rFonts w:ascii="宋体" w:hAnsi="宋体" w:eastAsia="宋体" w:cs="宋体"/>
          <w:b/>
          <w:bCs/>
          <w:sz w:val="30"/>
          <w:szCs w:val="30"/>
        </w:rPr>
        <w:t>2026年半年度业绩预告</w:t>
      </w:r>
    </w:p>
    <w:p w14:paraId="6BD6FAC4">
      <w:pPr>
        <w:autoSpaceDE w:val="0"/>
        <w:autoSpaceDN w:val="0"/>
        <w:adjustRightInd w:val="0"/>
        <w:ind w:firstLine="480" w:firstLineChars="200"/>
        <w:jc w:val="left"/>
        <w:rPr>
          <w:rFonts w:ascii="Times New Roman" w:hAnsi="Times New Roman" w:eastAsia="楷体_GB2312"/>
          <w:kern w:val="0"/>
          <w:sz w:val="24"/>
          <w:szCs w:val="24"/>
        </w:rPr>
      </w:pPr>
    </w:p>
    <w:p w14:paraId="2AF963B2">
      <w:pPr>
        <w:autoSpaceDE w:val="0"/>
        <w:autoSpaceDN w:val="0"/>
        <w:adjustRightInd w:val="0"/>
        <w:ind w:firstLine="480" w:firstLineChars="200"/>
        <w:jc w:val="left"/>
        <w:rPr>
          <w:rFonts w:ascii="宋体" w:hAnsi="宋体" w:eastAsia="宋体" w:cs="宋体"/>
          <w:b/>
          <w:bCs/>
          <w:sz w:val="28"/>
          <w:szCs w:val="28"/>
        </w:rPr>
      </w:pPr>
      <w:r>
        <w:rPr>
          <w:rFonts w:ascii="Times New Roman" w:hAnsi="Times New Roman" w:eastAsia="楷体_GB2312"/>
          <w:kern w:val="0"/>
          <w:sz w:val="24"/>
          <w:szCs w:val="24"/>
        </w:rPr>
        <w:t>本公司及</w:t>
      </w:r>
      <w:r>
        <w:rPr>
          <w:rFonts w:hint="eastAsia" w:ascii="Times New Roman" w:hAnsi="Times New Roman" w:eastAsia="楷体_GB2312"/>
          <w:kern w:val="0"/>
          <w:sz w:val="24"/>
          <w:szCs w:val="24"/>
        </w:rPr>
        <w:t>董</w:t>
      </w:r>
      <w:r>
        <w:rPr>
          <w:rFonts w:ascii="Times New Roman" w:hAnsi="Times New Roman" w:eastAsia="楷体_GB2312"/>
          <w:kern w:val="0"/>
          <w:sz w:val="24"/>
          <w:szCs w:val="24"/>
        </w:rPr>
        <w:t>事会全体成员保证信息披露的内容真实、准确、完整，没有虚假记载、误导性陈述或重大遗漏。</w:t>
      </w:r>
    </w:p>
    <w:p w14:paraId="44CC6679">
      <w:pPr>
        <w:pStyle w:val="2"/>
        <w:keepNext/>
        <w:keepLines/>
        <w:pageBreakBefore w:val="0"/>
        <w:widowControl w:val="0"/>
        <w:kinsoku/>
        <w:wordWrap/>
        <w:overflowPunct/>
        <w:topLinePunct w:val="0"/>
        <w:autoSpaceDE/>
        <w:autoSpaceDN/>
        <w:bidi w:val="0"/>
        <w:adjustRightInd/>
        <w:snapToGrid/>
        <w:spacing w:before="0" w:after="0" w:line="360" w:lineRule="auto"/>
        <w:ind w:firstLine="560" w:firstLineChars="200"/>
        <w:jc w:val="left"/>
        <w:textAlignment w:val="auto"/>
        <w:outlineLvl w:val="1"/>
        <w:rPr>
          <w:rFonts w:ascii="宋体" w:hAnsi="宋体" w:eastAsia="宋体" w:cs="宋体"/>
          <w:b/>
          <w:bCs/>
          <w:sz w:val="28"/>
          <w:szCs w:val="28"/>
        </w:rPr>
      </w:pPr>
      <w:bookmarkStart w:id="0" w:name="_Toc988889"/>
      <w:r>
        <w:rPr>
          <w:rFonts w:ascii="宋体" w:hAnsi="宋体" w:eastAsia="宋体" w:cs="宋体"/>
          <w:b/>
          <w:bCs/>
          <w:sz w:val="28"/>
          <w:szCs w:val="28"/>
        </w:rPr>
        <w:t>一、本期业绩预计情况</w:t>
      </w:r>
      <w:bookmarkEnd w:id="0"/>
    </w:p>
    <w:p w14:paraId="2E29781D">
      <w:pPr>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sz w:val="21"/>
          <w:szCs w:val="21"/>
        </w:rPr>
      </w:pPr>
      <w:r>
        <w:rPr>
          <w:rFonts w:ascii="宋体" w:hAnsi="宋体" w:eastAsia="宋体" w:cs="宋体"/>
          <w:sz w:val="21"/>
          <w:szCs w:val="21"/>
        </w:rPr>
        <w:t>1、业绩预告期间：2026年1月1日至2026年6月30日。</w:t>
      </w:r>
    </w:p>
    <w:p w14:paraId="6F05F4B1">
      <w:pPr>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sz w:val="21"/>
          <w:szCs w:val="21"/>
        </w:rPr>
      </w:pPr>
      <w:r>
        <w:rPr>
          <w:rFonts w:ascii="宋体" w:hAnsi="宋体" w:eastAsia="宋体" w:cs="宋体"/>
          <w:sz w:val="21"/>
          <w:szCs w:val="21"/>
        </w:rPr>
        <w:t>2、业绩预告情况：预计净利润为正值且属于同向上升情形</w:t>
      </w:r>
    </w:p>
    <w:p w14:paraId="3F6CA525">
      <w:pPr>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ascii="宋体" w:hAnsi="宋体" w:eastAsia="宋体" w:cs="宋体"/>
          <w:sz w:val="21"/>
          <w:szCs w:val="21"/>
        </w:rPr>
      </w:pPr>
      <w:r>
        <w:rPr>
          <w:rFonts w:ascii="宋体" w:hAnsi="宋体" w:eastAsia="宋体" w:cs="宋体"/>
          <w:sz w:val="21"/>
          <w:szCs w:val="21"/>
        </w:rPr>
        <w:t>（1）以区间数进行业绩预告的</w:t>
      </w:r>
    </w:p>
    <w:p w14:paraId="77DAB14E">
      <w:pPr>
        <w:spacing w:before="200" w:after="0" w:line="400" w:lineRule="exact"/>
        <w:jc w:val="right"/>
        <w:rPr>
          <w:rFonts w:ascii="宋体" w:hAnsi="宋体" w:eastAsia="宋体" w:cs="宋体"/>
          <w:sz w:val="21"/>
          <w:szCs w:val="21"/>
        </w:rPr>
      </w:pPr>
      <w:r>
        <w:rPr>
          <w:rFonts w:ascii="宋体" w:hAnsi="宋体" w:eastAsia="宋体" w:cs="宋体"/>
          <w:sz w:val="21"/>
          <w:szCs w:val="21"/>
        </w:rPr>
        <w:t>单位：万元</w:t>
      </w:r>
    </w:p>
    <w:tbl>
      <w:tblPr>
        <w:tblStyle w:val="7"/>
        <w:tblW w:w="964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065"/>
        <w:gridCol w:w="1728"/>
        <w:gridCol w:w="1344"/>
        <w:gridCol w:w="840"/>
        <w:gridCol w:w="1116"/>
        <w:gridCol w:w="1553"/>
      </w:tblGrid>
      <w:tr w14:paraId="7CD177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0" w:hRule="atLeast"/>
        </w:trPr>
        <w:tc>
          <w:tcPr>
            <w:tcW w:w="3065" w:type="dxa"/>
            <w:tcBorders>
              <w:top w:val="single" w:color="auto" w:sz="2" w:space="0"/>
              <w:left w:val="single" w:color="auto" w:sz="2" w:space="0"/>
              <w:bottom w:val="single" w:color="auto" w:sz="2" w:space="0"/>
              <w:right w:val="single" w:color="auto" w:sz="2" w:space="0"/>
            </w:tcBorders>
            <w:shd w:val="clear" w:color="auto" w:fill="D3D3D3"/>
            <w:vAlign w:val="center"/>
          </w:tcPr>
          <w:p w14:paraId="09CC5C7E">
            <w:pPr>
              <w:spacing w:before="40" w:after="40" w:line="560" w:lineRule="exact"/>
              <w:jc w:val="center"/>
              <w:rPr>
                <w:rFonts w:ascii="宋体" w:hAnsi="宋体" w:eastAsia="宋体" w:cs="宋体"/>
                <w:sz w:val="21"/>
                <w:szCs w:val="21"/>
              </w:rPr>
            </w:pPr>
            <w:r>
              <w:rPr>
                <w:rFonts w:ascii="宋体" w:hAnsi="宋体" w:eastAsia="宋体" w:cs="宋体"/>
                <w:sz w:val="21"/>
                <w:szCs w:val="21"/>
              </w:rPr>
              <w:t>项  目</w:t>
            </w:r>
          </w:p>
        </w:tc>
        <w:tc>
          <w:tcPr>
            <w:tcW w:w="5028" w:type="dxa"/>
            <w:gridSpan w:val="4"/>
            <w:tcBorders>
              <w:top w:val="single" w:color="auto" w:sz="2" w:space="0"/>
              <w:left w:val="single" w:color="auto" w:sz="2" w:space="0"/>
              <w:bottom w:val="single" w:color="auto" w:sz="2" w:space="0"/>
              <w:right w:val="single" w:color="auto" w:sz="2" w:space="0"/>
            </w:tcBorders>
            <w:shd w:val="clear" w:color="auto" w:fill="D3D3D3"/>
            <w:vAlign w:val="center"/>
          </w:tcPr>
          <w:p w14:paraId="432F1E2B">
            <w:pPr>
              <w:spacing w:before="0" w:after="0" w:line="560" w:lineRule="exact"/>
              <w:jc w:val="center"/>
              <w:rPr>
                <w:rFonts w:ascii="宋体" w:hAnsi="宋体" w:eastAsia="宋体" w:cs="宋体"/>
                <w:sz w:val="21"/>
                <w:szCs w:val="21"/>
              </w:rPr>
            </w:pPr>
            <w:r>
              <w:rPr>
                <w:rFonts w:ascii="宋体" w:hAnsi="宋体" w:eastAsia="宋体" w:cs="宋体"/>
                <w:sz w:val="21"/>
                <w:szCs w:val="21"/>
              </w:rPr>
              <w:t>本报告期</w:t>
            </w:r>
          </w:p>
        </w:tc>
        <w:tc>
          <w:tcPr>
            <w:tcW w:w="1553" w:type="dxa"/>
            <w:tcBorders>
              <w:top w:val="single" w:color="auto" w:sz="2" w:space="0"/>
              <w:left w:val="single" w:color="auto" w:sz="2" w:space="0"/>
              <w:bottom w:val="single" w:color="auto" w:sz="2" w:space="0"/>
              <w:right w:val="single" w:color="auto" w:sz="2" w:space="0"/>
            </w:tcBorders>
            <w:shd w:val="clear" w:color="auto" w:fill="D3D3D3"/>
            <w:vAlign w:val="center"/>
          </w:tcPr>
          <w:p w14:paraId="5569396D">
            <w:pPr>
              <w:spacing w:before="0" w:after="0" w:line="560" w:lineRule="exact"/>
              <w:jc w:val="center"/>
              <w:rPr>
                <w:rFonts w:ascii="宋体" w:hAnsi="宋体" w:eastAsia="宋体" w:cs="宋体"/>
                <w:sz w:val="21"/>
                <w:szCs w:val="21"/>
              </w:rPr>
            </w:pPr>
            <w:r>
              <w:rPr>
                <w:rFonts w:ascii="宋体" w:hAnsi="宋体" w:eastAsia="宋体" w:cs="宋体"/>
                <w:sz w:val="21"/>
                <w:szCs w:val="21"/>
              </w:rPr>
              <w:t>上年同期</w:t>
            </w:r>
          </w:p>
        </w:tc>
      </w:tr>
      <w:tr w14:paraId="4F7F3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306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32ADBB05">
            <w:pPr>
              <w:spacing w:before="40" w:after="40" w:line="400" w:lineRule="exact"/>
              <w:jc w:val="left"/>
              <w:rPr>
                <w:rFonts w:ascii="宋体" w:hAnsi="宋体" w:eastAsia="宋体" w:cs="宋体"/>
                <w:sz w:val="21"/>
                <w:szCs w:val="21"/>
              </w:rPr>
            </w:pPr>
            <w:r>
              <w:rPr>
                <w:rFonts w:ascii="宋体" w:hAnsi="宋体" w:eastAsia="宋体" w:cs="宋体"/>
                <w:sz w:val="21"/>
                <w:szCs w:val="21"/>
              </w:rPr>
              <w:t>归属于上市公司股东的净利润</w:t>
            </w:r>
          </w:p>
        </w:tc>
        <w:tc>
          <w:tcPr>
            <w:tcW w:w="3072" w:type="dxa"/>
            <w:gridSpan w:val="2"/>
            <w:tcBorders>
              <w:top w:val="single" w:color="auto" w:sz="2" w:space="0"/>
              <w:left w:val="single" w:color="auto" w:sz="2" w:space="0"/>
              <w:bottom w:val="single" w:color="auto" w:sz="2" w:space="0"/>
              <w:right w:val="single" w:color="auto" w:sz="2" w:space="0"/>
            </w:tcBorders>
            <w:vAlign w:val="center"/>
          </w:tcPr>
          <w:p w14:paraId="4362DC7D">
            <w:pPr>
              <w:spacing w:before="0" w:after="0" w:line="400" w:lineRule="exact"/>
              <w:jc w:val="right"/>
              <w:rPr>
                <w:rFonts w:ascii="宋体" w:hAnsi="宋体" w:eastAsia="宋体" w:cs="宋体"/>
                <w:sz w:val="21"/>
                <w:szCs w:val="21"/>
              </w:rPr>
            </w:pPr>
            <w:r>
              <w:rPr>
                <w:rFonts w:ascii="宋体" w:hAnsi="宋体" w:eastAsia="宋体" w:cs="宋体"/>
                <w:sz w:val="21"/>
                <w:szCs w:val="21"/>
              </w:rPr>
              <w:t>16,000</w:t>
            </w:r>
          </w:p>
        </w:tc>
        <w:tc>
          <w:tcPr>
            <w:tcW w:w="840" w:type="dxa"/>
            <w:tcBorders>
              <w:top w:val="single" w:color="auto" w:sz="2" w:space="0"/>
              <w:left w:val="single" w:color="auto" w:sz="2" w:space="0"/>
              <w:bottom w:val="single" w:color="auto" w:sz="2" w:space="0"/>
              <w:right w:val="single" w:color="auto" w:sz="2" w:space="0"/>
            </w:tcBorders>
            <w:vAlign w:val="center"/>
          </w:tcPr>
          <w:p w14:paraId="0BDAA9AF">
            <w:pPr>
              <w:spacing w:before="0" w:after="0" w:line="400" w:lineRule="exact"/>
              <w:jc w:val="center"/>
              <w:rPr>
                <w:rFonts w:ascii="宋体" w:hAnsi="宋体" w:eastAsia="宋体" w:cs="宋体"/>
                <w:sz w:val="21"/>
                <w:szCs w:val="21"/>
              </w:rPr>
            </w:pPr>
            <w:r>
              <w:rPr>
                <w:rFonts w:ascii="宋体" w:hAnsi="宋体" w:eastAsia="宋体" w:cs="宋体"/>
                <w:sz w:val="21"/>
                <w:szCs w:val="21"/>
              </w:rPr>
              <w:t>～</w:t>
            </w:r>
          </w:p>
        </w:tc>
        <w:tc>
          <w:tcPr>
            <w:tcW w:w="1116" w:type="dxa"/>
            <w:tcBorders>
              <w:top w:val="single" w:color="auto" w:sz="2" w:space="0"/>
              <w:left w:val="single" w:color="auto" w:sz="2" w:space="0"/>
              <w:bottom w:val="single" w:color="auto" w:sz="2" w:space="0"/>
              <w:right w:val="single" w:color="auto" w:sz="2" w:space="0"/>
            </w:tcBorders>
            <w:vAlign w:val="center"/>
          </w:tcPr>
          <w:p w14:paraId="2E899D89">
            <w:pPr>
              <w:spacing w:before="0" w:after="0" w:line="400" w:lineRule="exact"/>
              <w:jc w:val="right"/>
              <w:rPr>
                <w:rFonts w:ascii="宋体" w:hAnsi="宋体" w:eastAsia="宋体" w:cs="宋体"/>
                <w:sz w:val="21"/>
                <w:szCs w:val="21"/>
              </w:rPr>
            </w:pPr>
            <w:r>
              <w:rPr>
                <w:rFonts w:ascii="宋体" w:hAnsi="宋体" w:eastAsia="宋体" w:cs="宋体"/>
                <w:sz w:val="21"/>
                <w:szCs w:val="21"/>
              </w:rPr>
              <w:t>20,000</w:t>
            </w:r>
          </w:p>
        </w:tc>
        <w:tc>
          <w:tcPr>
            <w:tcW w:w="1553" w:type="dxa"/>
            <w:vMerge w:val="restart"/>
            <w:tcBorders>
              <w:top w:val="single" w:color="auto" w:sz="2" w:space="0"/>
              <w:left w:val="single" w:color="auto" w:sz="2" w:space="0"/>
              <w:bottom w:val="single" w:color="auto" w:sz="2" w:space="0"/>
              <w:right w:val="single" w:color="auto" w:sz="2" w:space="0"/>
            </w:tcBorders>
            <w:vAlign w:val="center"/>
          </w:tcPr>
          <w:p w14:paraId="2E67B6D2">
            <w:pPr>
              <w:spacing w:before="0" w:after="0" w:line="400" w:lineRule="exact"/>
              <w:jc w:val="right"/>
              <w:rPr>
                <w:rFonts w:ascii="宋体" w:hAnsi="宋体" w:eastAsia="宋体" w:cs="宋体"/>
                <w:sz w:val="21"/>
                <w:szCs w:val="21"/>
              </w:rPr>
            </w:pPr>
            <w:r>
              <w:rPr>
                <w:rFonts w:ascii="宋体" w:hAnsi="宋体" w:eastAsia="宋体" w:cs="宋体"/>
                <w:sz w:val="21"/>
                <w:szCs w:val="21"/>
              </w:rPr>
              <w:t>2,509.78</w:t>
            </w:r>
          </w:p>
        </w:tc>
      </w:tr>
      <w:tr w14:paraId="6AC761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3065" w:type="dxa"/>
            <w:vMerge w:val="continue"/>
            <w:tcBorders>
              <w:top w:val="single" w:color="auto" w:sz="2" w:space="0"/>
              <w:left w:val="single" w:color="auto" w:sz="2" w:space="0"/>
              <w:bottom w:val="single" w:color="auto" w:sz="2" w:space="0"/>
              <w:right w:val="single" w:color="auto" w:sz="2" w:space="0"/>
            </w:tcBorders>
            <w:vAlign w:val="center"/>
          </w:tcPr>
          <w:p w14:paraId="04F330BA"/>
        </w:tc>
        <w:tc>
          <w:tcPr>
            <w:tcW w:w="1728" w:type="dxa"/>
            <w:tcBorders>
              <w:top w:val="single" w:color="auto" w:sz="2" w:space="0"/>
              <w:left w:val="single" w:color="auto" w:sz="2" w:space="0"/>
              <w:bottom w:val="single" w:color="auto" w:sz="2" w:space="0"/>
              <w:right w:val="single" w:color="auto" w:sz="2" w:space="0"/>
            </w:tcBorders>
            <w:vAlign w:val="center"/>
          </w:tcPr>
          <w:p w14:paraId="300B5D8C">
            <w:pPr>
              <w:spacing w:before="0" w:after="0" w:line="400" w:lineRule="exact"/>
              <w:jc w:val="left"/>
              <w:rPr>
                <w:rFonts w:ascii="宋体" w:hAnsi="宋体" w:eastAsia="宋体" w:cs="宋体"/>
                <w:sz w:val="21"/>
                <w:szCs w:val="21"/>
              </w:rPr>
            </w:pPr>
            <w:r>
              <w:rPr>
                <w:rFonts w:ascii="宋体" w:hAnsi="宋体" w:eastAsia="宋体" w:cs="宋体"/>
                <w:sz w:val="21"/>
                <w:szCs w:val="21"/>
              </w:rPr>
              <w:t>比上年同期增长</w:t>
            </w:r>
          </w:p>
        </w:tc>
        <w:tc>
          <w:tcPr>
            <w:tcW w:w="1344" w:type="dxa"/>
            <w:tcBorders>
              <w:top w:val="single" w:color="auto" w:sz="2" w:space="0"/>
              <w:left w:val="single" w:color="auto" w:sz="2" w:space="0"/>
              <w:bottom w:val="single" w:color="auto" w:sz="2" w:space="0"/>
              <w:right w:val="single" w:color="auto" w:sz="2" w:space="0"/>
            </w:tcBorders>
            <w:vAlign w:val="center"/>
          </w:tcPr>
          <w:p w14:paraId="5C463183">
            <w:pPr>
              <w:spacing w:before="0" w:after="0" w:line="400" w:lineRule="exact"/>
              <w:jc w:val="right"/>
              <w:rPr>
                <w:rFonts w:ascii="宋体" w:hAnsi="宋体" w:eastAsia="宋体" w:cs="宋体"/>
                <w:sz w:val="21"/>
                <w:szCs w:val="21"/>
              </w:rPr>
            </w:pPr>
            <w:r>
              <w:rPr>
                <w:rFonts w:ascii="宋体" w:hAnsi="宋体" w:eastAsia="宋体" w:cs="宋体"/>
                <w:sz w:val="21"/>
                <w:szCs w:val="21"/>
              </w:rPr>
              <w:t>537.51%</w:t>
            </w:r>
          </w:p>
        </w:tc>
        <w:tc>
          <w:tcPr>
            <w:tcW w:w="840" w:type="dxa"/>
            <w:tcBorders>
              <w:top w:val="single" w:color="auto" w:sz="2" w:space="0"/>
              <w:left w:val="single" w:color="auto" w:sz="2" w:space="0"/>
              <w:bottom w:val="single" w:color="auto" w:sz="2" w:space="0"/>
              <w:right w:val="single" w:color="auto" w:sz="2" w:space="0"/>
            </w:tcBorders>
            <w:vAlign w:val="center"/>
          </w:tcPr>
          <w:p w14:paraId="6BB765FF">
            <w:pPr>
              <w:spacing w:before="0" w:after="0" w:line="400" w:lineRule="exact"/>
              <w:jc w:val="center"/>
              <w:rPr>
                <w:rFonts w:ascii="宋体" w:hAnsi="宋体" w:eastAsia="宋体" w:cs="宋体"/>
                <w:sz w:val="21"/>
                <w:szCs w:val="21"/>
              </w:rPr>
            </w:pPr>
            <w:r>
              <w:rPr>
                <w:rFonts w:ascii="宋体" w:hAnsi="宋体" w:eastAsia="宋体" w:cs="宋体"/>
                <w:sz w:val="21"/>
                <w:szCs w:val="21"/>
              </w:rPr>
              <w:t>～</w:t>
            </w:r>
          </w:p>
        </w:tc>
        <w:tc>
          <w:tcPr>
            <w:tcW w:w="1116" w:type="dxa"/>
            <w:tcBorders>
              <w:top w:val="single" w:color="auto" w:sz="2" w:space="0"/>
              <w:left w:val="single" w:color="auto" w:sz="2" w:space="0"/>
              <w:bottom w:val="single" w:color="auto" w:sz="2" w:space="0"/>
              <w:right w:val="single" w:color="auto" w:sz="2" w:space="0"/>
            </w:tcBorders>
            <w:vAlign w:val="center"/>
          </w:tcPr>
          <w:p w14:paraId="65BBD864">
            <w:pPr>
              <w:spacing w:before="0" w:after="0" w:line="400" w:lineRule="exact"/>
              <w:jc w:val="right"/>
              <w:rPr>
                <w:rFonts w:ascii="宋体" w:hAnsi="宋体" w:eastAsia="宋体" w:cs="宋体"/>
                <w:sz w:val="21"/>
                <w:szCs w:val="21"/>
              </w:rPr>
            </w:pPr>
            <w:r>
              <w:rPr>
                <w:rFonts w:ascii="宋体" w:hAnsi="宋体" w:eastAsia="宋体" w:cs="宋体"/>
                <w:sz w:val="21"/>
                <w:szCs w:val="21"/>
              </w:rPr>
              <w:t>696.88%</w:t>
            </w:r>
          </w:p>
        </w:tc>
        <w:tc>
          <w:tcPr>
            <w:tcW w:w="1553" w:type="dxa"/>
            <w:vMerge w:val="continue"/>
            <w:tcBorders>
              <w:top w:val="single" w:color="auto" w:sz="2" w:space="0"/>
              <w:left w:val="single" w:color="auto" w:sz="2" w:space="0"/>
              <w:bottom w:val="single" w:color="auto" w:sz="2" w:space="0"/>
              <w:right w:val="single" w:color="auto" w:sz="2" w:space="0"/>
            </w:tcBorders>
            <w:vAlign w:val="center"/>
          </w:tcPr>
          <w:p w14:paraId="6034CF0C"/>
        </w:tc>
      </w:tr>
      <w:tr w14:paraId="1D94BB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3065" w:type="dxa"/>
            <w:vMerge w:val="restart"/>
            <w:tcBorders>
              <w:top w:val="single" w:color="auto" w:sz="2" w:space="0"/>
              <w:left w:val="single" w:color="auto" w:sz="2" w:space="0"/>
              <w:bottom w:val="single" w:color="auto" w:sz="2" w:space="0"/>
              <w:right w:val="single" w:color="auto" w:sz="2" w:space="0"/>
            </w:tcBorders>
            <w:shd w:val="clear" w:color="auto" w:fill="D3D3D3"/>
            <w:vAlign w:val="center"/>
          </w:tcPr>
          <w:p w14:paraId="4B4E2BB5">
            <w:pPr>
              <w:spacing w:before="0" w:after="0" w:line="400" w:lineRule="exact"/>
              <w:jc w:val="left"/>
              <w:rPr>
                <w:rFonts w:ascii="宋体" w:hAnsi="宋体" w:eastAsia="宋体" w:cs="宋体"/>
                <w:sz w:val="21"/>
                <w:szCs w:val="21"/>
              </w:rPr>
            </w:pPr>
            <w:r>
              <w:rPr>
                <w:rFonts w:ascii="宋体" w:hAnsi="宋体" w:eastAsia="宋体" w:cs="宋体"/>
                <w:sz w:val="21"/>
                <w:szCs w:val="21"/>
              </w:rPr>
              <w:t>扣除非经常性损益后的净利润</w:t>
            </w:r>
          </w:p>
        </w:tc>
        <w:tc>
          <w:tcPr>
            <w:tcW w:w="3072" w:type="dxa"/>
            <w:gridSpan w:val="2"/>
            <w:tcBorders>
              <w:top w:val="single" w:color="auto" w:sz="2" w:space="0"/>
              <w:left w:val="single" w:color="auto" w:sz="2" w:space="0"/>
              <w:bottom w:val="single" w:color="auto" w:sz="2" w:space="0"/>
              <w:right w:val="single" w:color="auto" w:sz="2" w:space="0"/>
            </w:tcBorders>
            <w:vAlign w:val="center"/>
          </w:tcPr>
          <w:p w14:paraId="0BD70983">
            <w:pPr>
              <w:spacing w:before="0" w:after="0" w:line="400" w:lineRule="exact"/>
              <w:jc w:val="right"/>
              <w:rPr>
                <w:rFonts w:ascii="宋体" w:hAnsi="宋体" w:eastAsia="宋体" w:cs="宋体"/>
                <w:sz w:val="21"/>
                <w:szCs w:val="21"/>
              </w:rPr>
            </w:pPr>
            <w:r>
              <w:rPr>
                <w:rFonts w:ascii="宋体" w:hAnsi="宋体" w:eastAsia="宋体" w:cs="宋体"/>
                <w:sz w:val="21"/>
                <w:szCs w:val="21"/>
              </w:rPr>
              <w:t>600</w:t>
            </w:r>
          </w:p>
        </w:tc>
        <w:tc>
          <w:tcPr>
            <w:tcW w:w="840" w:type="dxa"/>
            <w:tcBorders>
              <w:top w:val="single" w:color="auto" w:sz="2" w:space="0"/>
              <w:left w:val="single" w:color="auto" w:sz="2" w:space="0"/>
              <w:bottom w:val="single" w:color="auto" w:sz="2" w:space="0"/>
              <w:right w:val="single" w:color="auto" w:sz="2" w:space="0"/>
            </w:tcBorders>
            <w:vAlign w:val="center"/>
          </w:tcPr>
          <w:p w14:paraId="51DE43B3">
            <w:pPr>
              <w:spacing w:before="0" w:after="0" w:line="400" w:lineRule="exact"/>
              <w:jc w:val="center"/>
              <w:rPr>
                <w:rFonts w:ascii="宋体" w:hAnsi="宋体" w:eastAsia="宋体" w:cs="宋体"/>
                <w:sz w:val="21"/>
                <w:szCs w:val="21"/>
              </w:rPr>
            </w:pPr>
            <w:r>
              <w:rPr>
                <w:rFonts w:ascii="宋体" w:hAnsi="宋体" w:eastAsia="宋体" w:cs="宋体"/>
                <w:sz w:val="21"/>
                <w:szCs w:val="21"/>
              </w:rPr>
              <w:t>～</w:t>
            </w:r>
          </w:p>
        </w:tc>
        <w:tc>
          <w:tcPr>
            <w:tcW w:w="1116" w:type="dxa"/>
            <w:tcBorders>
              <w:top w:val="single" w:color="auto" w:sz="2" w:space="0"/>
              <w:left w:val="single" w:color="auto" w:sz="2" w:space="0"/>
              <w:bottom w:val="single" w:color="auto" w:sz="2" w:space="0"/>
              <w:right w:val="single" w:color="auto" w:sz="2" w:space="0"/>
            </w:tcBorders>
            <w:vAlign w:val="center"/>
          </w:tcPr>
          <w:p w14:paraId="42551C5A">
            <w:pPr>
              <w:spacing w:before="0" w:after="0" w:line="400" w:lineRule="exact"/>
              <w:jc w:val="right"/>
              <w:rPr>
                <w:rFonts w:hint="default" w:ascii="宋体" w:hAnsi="宋体" w:eastAsia="宋体" w:cs="宋体"/>
                <w:sz w:val="21"/>
                <w:szCs w:val="21"/>
                <w:lang w:val="en-US" w:eastAsia="zh-CN"/>
              </w:rPr>
            </w:pPr>
            <w:r>
              <w:rPr>
                <w:rFonts w:hint="eastAsia" w:ascii="宋体" w:hAnsi="宋体" w:cs="宋体"/>
                <w:sz w:val="21"/>
                <w:szCs w:val="21"/>
                <w:lang w:val="en-US" w:eastAsia="zh-CN"/>
              </w:rPr>
              <w:t>850</w:t>
            </w:r>
          </w:p>
        </w:tc>
        <w:tc>
          <w:tcPr>
            <w:tcW w:w="1553" w:type="dxa"/>
            <w:vMerge w:val="restart"/>
            <w:tcBorders>
              <w:top w:val="single" w:color="auto" w:sz="2" w:space="0"/>
              <w:left w:val="single" w:color="auto" w:sz="2" w:space="0"/>
              <w:bottom w:val="single" w:color="auto" w:sz="2" w:space="0"/>
              <w:right w:val="single" w:color="auto" w:sz="2" w:space="0"/>
            </w:tcBorders>
            <w:vAlign w:val="center"/>
          </w:tcPr>
          <w:p w14:paraId="10D04A39">
            <w:pPr>
              <w:spacing w:before="0" w:after="0" w:line="400" w:lineRule="exact"/>
              <w:jc w:val="right"/>
              <w:rPr>
                <w:rFonts w:ascii="宋体" w:hAnsi="宋体" w:eastAsia="宋体" w:cs="宋体"/>
                <w:sz w:val="21"/>
                <w:szCs w:val="21"/>
              </w:rPr>
            </w:pPr>
            <w:r>
              <w:rPr>
                <w:rFonts w:ascii="宋体" w:hAnsi="宋体" w:eastAsia="宋体" w:cs="宋体"/>
                <w:sz w:val="21"/>
                <w:szCs w:val="21"/>
              </w:rPr>
              <w:t>-5,444.25</w:t>
            </w:r>
          </w:p>
        </w:tc>
      </w:tr>
      <w:tr w14:paraId="69402E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3065" w:type="dxa"/>
            <w:vMerge w:val="continue"/>
            <w:tcBorders>
              <w:top w:val="single" w:color="auto" w:sz="2" w:space="0"/>
              <w:left w:val="single" w:color="auto" w:sz="2" w:space="0"/>
              <w:bottom w:val="single" w:color="auto" w:sz="2" w:space="0"/>
              <w:right w:val="single" w:color="auto" w:sz="2" w:space="0"/>
            </w:tcBorders>
            <w:vAlign w:val="center"/>
          </w:tcPr>
          <w:p w14:paraId="098457E4"/>
        </w:tc>
        <w:tc>
          <w:tcPr>
            <w:tcW w:w="1728" w:type="dxa"/>
            <w:tcBorders>
              <w:top w:val="single" w:color="auto" w:sz="2" w:space="0"/>
              <w:left w:val="single" w:color="auto" w:sz="2" w:space="0"/>
              <w:bottom w:val="single" w:color="auto" w:sz="2" w:space="0"/>
              <w:right w:val="single" w:color="auto" w:sz="2" w:space="0"/>
            </w:tcBorders>
            <w:vAlign w:val="center"/>
          </w:tcPr>
          <w:p w14:paraId="7D1D4D48">
            <w:pPr>
              <w:spacing w:before="0" w:after="0" w:line="400" w:lineRule="exact"/>
              <w:jc w:val="left"/>
              <w:rPr>
                <w:rFonts w:ascii="宋体" w:hAnsi="宋体" w:eastAsia="宋体" w:cs="宋体"/>
                <w:sz w:val="21"/>
                <w:szCs w:val="21"/>
              </w:rPr>
            </w:pPr>
            <w:r>
              <w:rPr>
                <w:rFonts w:ascii="宋体" w:hAnsi="宋体" w:eastAsia="宋体" w:cs="宋体"/>
                <w:sz w:val="21"/>
                <w:szCs w:val="21"/>
              </w:rPr>
              <w:t>比上年同期增长</w:t>
            </w:r>
          </w:p>
        </w:tc>
        <w:tc>
          <w:tcPr>
            <w:tcW w:w="1344" w:type="dxa"/>
            <w:tcBorders>
              <w:top w:val="single" w:color="auto" w:sz="2" w:space="0"/>
              <w:left w:val="single" w:color="auto" w:sz="2" w:space="0"/>
              <w:bottom w:val="single" w:color="auto" w:sz="2" w:space="0"/>
              <w:right w:val="single" w:color="auto" w:sz="2" w:space="0"/>
            </w:tcBorders>
            <w:vAlign w:val="center"/>
          </w:tcPr>
          <w:p w14:paraId="2BB4B78D">
            <w:pPr>
              <w:spacing w:before="0" w:after="0" w:line="400" w:lineRule="exact"/>
              <w:jc w:val="right"/>
              <w:rPr>
                <w:rFonts w:hint="eastAsia" w:ascii="宋体" w:hAnsi="宋体" w:eastAsia="宋体" w:cs="宋体"/>
                <w:sz w:val="21"/>
                <w:szCs w:val="21"/>
                <w:lang w:eastAsia="zh-CN"/>
              </w:rPr>
            </w:pPr>
            <w:r>
              <w:rPr>
                <w:rFonts w:hint="eastAsia" w:ascii="宋体" w:hAnsi="宋体" w:cs="宋体"/>
                <w:sz w:val="21"/>
                <w:szCs w:val="21"/>
                <w:lang w:val="en-US" w:eastAsia="zh-CN"/>
              </w:rPr>
              <w:t>不适用</w:t>
            </w:r>
          </w:p>
        </w:tc>
        <w:tc>
          <w:tcPr>
            <w:tcW w:w="840" w:type="dxa"/>
            <w:tcBorders>
              <w:top w:val="single" w:color="auto" w:sz="2" w:space="0"/>
              <w:left w:val="single" w:color="auto" w:sz="2" w:space="0"/>
              <w:bottom w:val="single" w:color="auto" w:sz="2" w:space="0"/>
              <w:right w:val="single" w:color="auto" w:sz="2" w:space="0"/>
            </w:tcBorders>
            <w:vAlign w:val="center"/>
          </w:tcPr>
          <w:p w14:paraId="02D26DFE">
            <w:pPr>
              <w:spacing w:before="0" w:after="0" w:line="400" w:lineRule="exact"/>
              <w:jc w:val="center"/>
              <w:rPr>
                <w:rFonts w:ascii="宋体" w:hAnsi="宋体" w:eastAsia="宋体" w:cs="宋体"/>
                <w:sz w:val="21"/>
                <w:szCs w:val="21"/>
              </w:rPr>
            </w:pPr>
            <w:r>
              <w:rPr>
                <w:rFonts w:ascii="宋体" w:hAnsi="宋体" w:eastAsia="宋体" w:cs="宋体"/>
                <w:sz w:val="21"/>
                <w:szCs w:val="21"/>
              </w:rPr>
              <w:t>～</w:t>
            </w:r>
          </w:p>
        </w:tc>
        <w:tc>
          <w:tcPr>
            <w:tcW w:w="1116" w:type="dxa"/>
            <w:tcBorders>
              <w:top w:val="single" w:color="auto" w:sz="2" w:space="0"/>
              <w:left w:val="single" w:color="auto" w:sz="2" w:space="0"/>
              <w:bottom w:val="single" w:color="auto" w:sz="2" w:space="0"/>
              <w:right w:val="single" w:color="auto" w:sz="2" w:space="0"/>
            </w:tcBorders>
            <w:vAlign w:val="center"/>
          </w:tcPr>
          <w:p w14:paraId="3FB8D3BC">
            <w:pPr>
              <w:spacing w:before="0" w:after="0" w:line="400" w:lineRule="exact"/>
              <w:jc w:val="right"/>
              <w:rPr>
                <w:rFonts w:ascii="宋体" w:hAnsi="宋体" w:eastAsia="宋体" w:cs="宋体"/>
                <w:sz w:val="21"/>
                <w:szCs w:val="21"/>
              </w:rPr>
            </w:pPr>
            <w:r>
              <w:rPr>
                <w:rFonts w:hint="eastAsia" w:ascii="宋体" w:hAnsi="宋体" w:cs="宋体"/>
                <w:sz w:val="21"/>
                <w:szCs w:val="21"/>
                <w:lang w:val="en-US" w:eastAsia="zh-CN"/>
              </w:rPr>
              <w:t>不适用</w:t>
            </w:r>
          </w:p>
        </w:tc>
        <w:tc>
          <w:tcPr>
            <w:tcW w:w="1553" w:type="dxa"/>
            <w:vMerge w:val="continue"/>
            <w:tcBorders>
              <w:top w:val="single" w:color="auto" w:sz="2" w:space="0"/>
              <w:left w:val="single" w:color="auto" w:sz="2" w:space="0"/>
              <w:bottom w:val="single" w:color="auto" w:sz="2" w:space="0"/>
              <w:right w:val="single" w:color="auto" w:sz="2" w:space="0"/>
            </w:tcBorders>
            <w:vAlign w:val="center"/>
          </w:tcPr>
          <w:p w14:paraId="40AD7D9B"/>
        </w:tc>
      </w:tr>
      <w:tr w14:paraId="195C9B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00" w:hRule="atLeast"/>
        </w:trPr>
        <w:tc>
          <w:tcPr>
            <w:tcW w:w="3065" w:type="dxa"/>
            <w:tcBorders>
              <w:top w:val="single" w:color="auto" w:sz="2" w:space="0"/>
              <w:left w:val="single" w:color="auto" w:sz="2" w:space="0"/>
              <w:bottom w:val="single" w:color="auto" w:sz="2" w:space="0"/>
              <w:right w:val="single" w:color="auto" w:sz="2" w:space="0"/>
            </w:tcBorders>
            <w:shd w:val="clear" w:color="auto" w:fill="D3D3D3"/>
            <w:vAlign w:val="center"/>
          </w:tcPr>
          <w:p w14:paraId="6DF16CB5">
            <w:pPr>
              <w:spacing w:before="0" w:after="0" w:line="400" w:lineRule="exact"/>
              <w:jc w:val="left"/>
              <w:rPr>
                <w:rFonts w:ascii="宋体" w:hAnsi="宋体" w:eastAsia="宋体" w:cs="宋体"/>
                <w:sz w:val="21"/>
                <w:szCs w:val="21"/>
              </w:rPr>
            </w:pPr>
            <w:r>
              <w:rPr>
                <w:rFonts w:ascii="宋体" w:hAnsi="宋体" w:eastAsia="宋体" w:cs="宋体"/>
                <w:sz w:val="21"/>
                <w:szCs w:val="21"/>
              </w:rPr>
              <w:t>基本每股收益（元/股）</w:t>
            </w:r>
          </w:p>
        </w:tc>
        <w:tc>
          <w:tcPr>
            <w:tcW w:w="3072" w:type="dxa"/>
            <w:gridSpan w:val="2"/>
            <w:tcBorders>
              <w:top w:val="single" w:color="auto" w:sz="2" w:space="0"/>
              <w:left w:val="single" w:color="auto" w:sz="2" w:space="0"/>
              <w:bottom w:val="single" w:color="auto" w:sz="2" w:space="0"/>
              <w:right w:val="single" w:color="auto" w:sz="2" w:space="0"/>
            </w:tcBorders>
            <w:vAlign w:val="center"/>
          </w:tcPr>
          <w:p w14:paraId="5186A037">
            <w:pPr>
              <w:spacing w:before="0" w:after="0" w:line="400" w:lineRule="exact"/>
              <w:jc w:val="right"/>
              <w:rPr>
                <w:rFonts w:ascii="宋体" w:hAnsi="宋体" w:eastAsia="宋体" w:cs="宋体"/>
                <w:sz w:val="21"/>
                <w:szCs w:val="21"/>
              </w:rPr>
            </w:pPr>
            <w:r>
              <w:rPr>
                <w:rFonts w:ascii="宋体" w:hAnsi="宋体" w:eastAsia="宋体" w:cs="宋体"/>
                <w:sz w:val="21"/>
                <w:szCs w:val="21"/>
              </w:rPr>
              <w:t>0.11</w:t>
            </w:r>
          </w:p>
        </w:tc>
        <w:tc>
          <w:tcPr>
            <w:tcW w:w="840" w:type="dxa"/>
            <w:tcBorders>
              <w:top w:val="single" w:color="auto" w:sz="2" w:space="0"/>
              <w:left w:val="single" w:color="auto" w:sz="2" w:space="0"/>
              <w:bottom w:val="single" w:color="auto" w:sz="2" w:space="0"/>
              <w:right w:val="single" w:color="auto" w:sz="2" w:space="0"/>
            </w:tcBorders>
            <w:vAlign w:val="center"/>
          </w:tcPr>
          <w:p w14:paraId="5B8436F6">
            <w:pPr>
              <w:spacing w:before="0" w:after="0" w:line="400" w:lineRule="exact"/>
              <w:jc w:val="center"/>
              <w:rPr>
                <w:rFonts w:ascii="宋体" w:hAnsi="宋体" w:eastAsia="宋体" w:cs="宋体"/>
                <w:sz w:val="21"/>
                <w:szCs w:val="21"/>
              </w:rPr>
            </w:pPr>
            <w:r>
              <w:rPr>
                <w:rFonts w:ascii="宋体" w:hAnsi="宋体" w:eastAsia="宋体" w:cs="宋体"/>
                <w:sz w:val="21"/>
                <w:szCs w:val="21"/>
              </w:rPr>
              <w:t>～</w:t>
            </w:r>
          </w:p>
        </w:tc>
        <w:tc>
          <w:tcPr>
            <w:tcW w:w="1116" w:type="dxa"/>
            <w:tcBorders>
              <w:top w:val="single" w:color="auto" w:sz="2" w:space="0"/>
              <w:left w:val="single" w:color="auto" w:sz="2" w:space="0"/>
              <w:bottom w:val="single" w:color="auto" w:sz="2" w:space="0"/>
              <w:right w:val="single" w:color="auto" w:sz="2" w:space="0"/>
            </w:tcBorders>
            <w:vAlign w:val="center"/>
          </w:tcPr>
          <w:p w14:paraId="1FF52BA5">
            <w:pPr>
              <w:spacing w:before="0" w:after="0" w:line="400" w:lineRule="exact"/>
              <w:jc w:val="right"/>
              <w:rPr>
                <w:rFonts w:ascii="宋体" w:hAnsi="宋体" w:eastAsia="宋体" w:cs="宋体"/>
                <w:sz w:val="21"/>
                <w:szCs w:val="21"/>
              </w:rPr>
            </w:pPr>
            <w:r>
              <w:rPr>
                <w:rFonts w:ascii="宋体" w:hAnsi="宋体" w:eastAsia="宋体" w:cs="宋体"/>
                <w:sz w:val="21"/>
                <w:szCs w:val="21"/>
              </w:rPr>
              <w:t>0.14</w:t>
            </w:r>
          </w:p>
        </w:tc>
        <w:tc>
          <w:tcPr>
            <w:tcW w:w="1553" w:type="dxa"/>
            <w:tcBorders>
              <w:top w:val="single" w:color="auto" w:sz="2" w:space="0"/>
              <w:left w:val="single" w:color="auto" w:sz="2" w:space="0"/>
              <w:bottom w:val="single" w:color="auto" w:sz="2" w:space="0"/>
              <w:right w:val="single" w:color="auto" w:sz="2" w:space="0"/>
            </w:tcBorders>
            <w:vAlign w:val="center"/>
          </w:tcPr>
          <w:p w14:paraId="1F4218AE">
            <w:pPr>
              <w:spacing w:before="0" w:after="0" w:line="400" w:lineRule="exact"/>
              <w:jc w:val="right"/>
              <w:rPr>
                <w:rFonts w:ascii="宋体" w:hAnsi="宋体" w:eastAsia="宋体" w:cs="宋体"/>
                <w:sz w:val="21"/>
                <w:szCs w:val="21"/>
              </w:rPr>
            </w:pPr>
            <w:r>
              <w:rPr>
                <w:rFonts w:ascii="宋体" w:hAnsi="宋体" w:eastAsia="宋体" w:cs="宋体"/>
                <w:sz w:val="21"/>
                <w:szCs w:val="21"/>
              </w:rPr>
              <w:t>0.02</w:t>
            </w:r>
          </w:p>
        </w:tc>
      </w:tr>
    </w:tbl>
    <w:p w14:paraId="76C48B1C">
      <w:pPr>
        <w:pStyle w:val="2"/>
        <w:keepNext/>
        <w:keepLines/>
        <w:pageBreakBefore w:val="0"/>
        <w:kinsoku/>
        <w:wordWrap/>
        <w:overflowPunct/>
        <w:topLinePunct w:val="0"/>
        <w:autoSpaceDE/>
        <w:autoSpaceDN/>
        <w:bidi w:val="0"/>
        <w:adjustRightInd/>
        <w:snapToGrid/>
        <w:spacing w:before="0" w:beforeAutospacing="0" w:after="0" w:afterAutospacing="0" w:line="360" w:lineRule="auto"/>
        <w:ind w:firstLine="560" w:firstLineChars="200"/>
        <w:jc w:val="both"/>
        <w:textAlignment w:val="auto"/>
        <w:outlineLvl w:val="1"/>
        <w:rPr>
          <w:rFonts w:ascii="宋体" w:hAnsi="宋体" w:eastAsia="宋体" w:cs="宋体"/>
          <w:b/>
          <w:bCs/>
          <w:sz w:val="28"/>
          <w:szCs w:val="28"/>
        </w:rPr>
      </w:pPr>
      <w:bookmarkStart w:id="1" w:name="_Toc988890"/>
      <w:r>
        <w:rPr>
          <w:rFonts w:ascii="宋体" w:hAnsi="宋体" w:eastAsia="宋体" w:cs="宋体"/>
          <w:b/>
          <w:bCs/>
          <w:sz w:val="28"/>
          <w:szCs w:val="28"/>
        </w:rPr>
        <w:t>二、与会计师事务所沟通情况</w:t>
      </w:r>
      <w:bookmarkEnd w:id="1"/>
    </w:p>
    <w:p w14:paraId="45C1B7F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jc w:val="both"/>
        <w:textAlignment w:val="auto"/>
      </w:pPr>
      <w:r>
        <w:rPr>
          <w:rFonts w:hint="eastAsia" w:ascii="宋体" w:hAnsi="宋体" w:eastAsia="宋体" w:cs="宋体"/>
          <w:sz w:val="21"/>
          <w:szCs w:val="21"/>
        </w:rPr>
        <w:t>本次业绩预告相关数据是公司财务部门初步测算的结果，未经会计师事务所审计。</w:t>
      </w:r>
    </w:p>
    <w:p w14:paraId="0E1C03E8">
      <w:pPr>
        <w:pStyle w:val="2"/>
        <w:keepNext/>
        <w:keepLines/>
        <w:pageBreakBefore w:val="0"/>
        <w:kinsoku/>
        <w:wordWrap/>
        <w:overflowPunct/>
        <w:topLinePunct w:val="0"/>
        <w:autoSpaceDE/>
        <w:autoSpaceDN/>
        <w:bidi w:val="0"/>
        <w:adjustRightInd/>
        <w:snapToGrid/>
        <w:spacing w:before="0" w:beforeAutospacing="0" w:after="0" w:afterAutospacing="0" w:line="360" w:lineRule="auto"/>
        <w:ind w:firstLine="560" w:firstLineChars="200"/>
        <w:jc w:val="both"/>
        <w:textAlignment w:val="auto"/>
        <w:outlineLvl w:val="1"/>
        <w:rPr>
          <w:rFonts w:ascii="宋体" w:hAnsi="宋体" w:eastAsia="宋体" w:cs="宋体"/>
          <w:b/>
          <w:bCs/>
          <w:sz w:val="28"/>
          <w:szCs w:val="28"/>
        </w:rPr>
      </w:pPr>
      <w:bookmarkStart w:id="2" w:name="_Toc988891"/>
      <w:r>
        <w:rPr>
          <w:rFonts w:ascii="宋体" w:hAnsi="宋体" w:eastAsia="宋体" w:cs="宋体"/>
          <w:b/>
          <w:bCs/>
          <w:sz w:val="28"/>
          <w:szCs w:val="28"/>
        </w:rPr>
        <w:t>三、业绩变动原因说明</w:t>
      </w:r>
      <w:bookmarkEnd w:id="2"/>
    </w:p>
    <w:p w14:paraId="2E6C786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jc w:val="both"/>
        <w:textAlignment w:val="auto"/>
      </w:pPr>
      <w:r>
        <w:rPr>
          <w:rFonts w:hint="eastAsia" w:ascii="宋体" w:hAnsi="宋体" w:eastAsia="宋体" w:cs="宋体"/>
          <w:sz w:val="21"/>
          <w:szCs w:val="21"/>
        </w:rPr>
        <w:t>1、2026年上半年，由于原材料棉花价格上涨，公司订单情况较去年</w:t>
      </w:r>
      <w:r>
        <w:rPr>
          <w:rFonts w:hint="eastAsia" w:ascii="宋体" w:hAnsi="宋体" w:cs="宋体"/>
          <w:sz w:val="21"/>
          <w:szCs w:val="21"/>
          <w:lang w:val="en-US" w:eastAsia="zh-CN"/>
        </w:rPr>
        <w:t>同期</w:t>
      </w:r>
      <w:r>
        <w:rPr>
          <w:rFonts w:hint="eastAsia" w:ascii="宋体" w:hAnsi="宋体" w:eastAsia="宋体" w:cs="宋体"/>
          <w:sz w:val="21"/>
          <w:szCs w:val="21"/>
        </w:rPr>
        <w:t>有所恢复，扣除非经常性损益后的净利润实现扭亏为盈；</w:t>
      </w:r>
    </w:p>
    <w:p w14:paraId="2134C36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jc w:val="both"/>
        <w:textAlignment w:val="auto"/>
      </w:pPr>
      <w:r>
        <w:rPr>
          <w:rFonts w:hint="eastAsia" w:ascii="宋体" w:hAnsi="宋体" w:eastAsia="宋体" w:cs="宋体"/>
          <w:sz w:val="21"/>
          <w:szCs w:val="21"/>
        </w:rPr>
        <w:t>2、公司归属于上市公司股东的净利润同比增长来自于非经常性损益的变动，主要为上半年度实现投资收益</w:t>
      </w:r>
      <w:r>
        <w:rPr>
          <w:rFonts w:hint="eastAsia" w:ascii="宋体" w:hAnsi="宋体" w:cs="宋体"/>
          <w:sz w:val="21"/>
          <w:szCs w:val="21"/>
          <w:lang w:val="en-US" w:eastAsia="zh-CN"/>
        </w:rPr>
        <w:t>1.6</w:t>
      </w:r>
      <w:r>
        <w:rPr>
          <w:rFonts w:hint="eastAsia" w:ascii="宋体" w:hAnsi="宋体" w:eastAsia="宋体" w:cs="宋体"/>
          <w:sz w:val="21"/>
          <w:szCs w:val="21"/>
        </w:rPr>
        <w:t>亿元</w:t>
      </w:r>
      <w:r>
        <w:rPr>
          <w:rFonts w:hint="eastAsia" w:ascii="宋体" w:hAnsi="宋体" w:cs="宋体"/>
          <w:sz w:val="21"/>
          <w:szCs w:val="21"/>
          <w:lang w:val="en-US" w:eastAsia="zh-CN"/>
        </w:rPr>
        <w:t>左右</w:t>
      </w:r>
      <w:bookmarkStart w:id="5" w:name="_GoBack"/>
      <w:bookmarkEnd w:id="5"/>
      <w:r>
        <w:rPr>
          <w:rFonts w:hint="eastAsia" w:ascii="宋体" w:hAnsi="宋体" w:eastAsia="宋体" w:cs="宋体"/>
          <w:sz w:val="21"/>
          <w:szCs w:val="21"/>
        </w:rPr>
        <w:t>。</w:t>
      </w:r>
    </w:p>
    <w:p w14:paraId="77FE1A67">
      <w:pPr>
        <w:pStyle w:val="2"/>
        <w:keepNext/>
        <w:keepLines/>
        <w:pageBreakBefore w:val="0"/>
        <w:kinsoku/>
        <w:wordWrap/>
        <w:overflowPunct/>
        <w:topLinePunct w:val="0"/>
        <w:autoSpaceDE/>
        <w:autoSpaceDN/>
        <w:bidi w:val="0"/>
        <w:adjustRightInd/>
        <w:snapToGrid/>
        <w:spacing w:before="0" w:beforeAutospacing="0" w:after="0" w:afterAutospacing="0" w:line="360" w:lineRule="auto"/>
        <w:ind w:firstLine="560" w:firstLineChars="200"/>
        <w:jc w:val="both"/>
        <w:textAlignment w:val="auto"/>
        <w:outlineLvl w:val="1"/>
        <w:rPr>
          <w:rFonts w:ascii="宋体" w:hAnsi="宋体" w:eastAsia="宋体" w:cs="宋体"/>
          <w:b/>
          <w:bCs/>
          <w:sz w:val="28"/>
          <w:szCs w:val="28"/>
        </w:rPr>
      </w:pPr>
      <w:bookmarkStart w:id="3" w:name="_Toc988892"/>
      <w:r>
        <w:rPr>
          <w:rFonts w:ascii="宋体" w:hAnsi="宋体" w:eastAsia="宋体" w:cs="宋体"/>
          <w:b/>
          <w:bCs/>
          <w:sz w:val="28"/>
          <w:szCs w:val="28"/>
        </w:rPr>
        <w:t>四、风险提示</w:t>
      </w:r>
      <w:bookmarkEnd w:id="3"/>
    </w:p>
    <w:p w14:paraId="7F57D5B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firstLine="420" w:firstLineChars="200"/>
        <w:jc w:val="both"/>
        <w:textAlignment w:val="auto"/>
        <w:rPr>
          <w:rFonts w:ascii="宋体" w:hAnsi="宋体" w:eastAsia="宋体" w:cs="宋体"/>
          <w:sz w:val="24"/>
          <w:szCs w:val="24"/>
        </w:rPr>
      </w:pPr>
      <w:r>
        <w:rPr>
          <w:rFonts w:hint="eastAsia" w:ascii="宋体" w:hAnsi="宋体" w:eastAsia="宋体" w:cs="宋体"/>
          <w:sz w:val="21"/>
          <w:szCs w:val="21"/>
        </w:rPr>
        <w:t>本次业绩预告数据是公司财务部门初步估算的结果，未经审计机构审计，具体财务数据将在本公司2026年半年度报告中详细披露，敬请广大投资者注意投资风险！</w:t>
      </w:r>
      <w:bookmarkStart w:id="4" w:name="_Toc988893"/>
      <w:bookmarkEnd w:id="4"/>
    </w:p>
    <w:p w14:paraId="30EFE16D">
      <w:pPr>
        <w:pageBreakBefore w:val="0"/>
        <w:kinsoku/>
        <w:wordWrap/>
        <w:overflowPunct/>
        <w:topLinePunct w:val="0"/>
        <w:autoSpaceDE/>
        <w:autoSpaceDN/>
        <w:bidi w:val="0"/>
        <w:adjustRightInd/>
        <w:snapToGrid/>
        <w:spacing w:beforeAutospacing="0" w:afterAutospacing="0" w:line="360" w:lineRule="auto"/>
        <w:ind w:firstLine="420" w:firstLineChars="200"/>
        <w:jc w:val="both"/>
        <w:textAlignment w:val="auto"/>
        <w:rPr>
          <w:rFonts w:ascii="宋体" w:hAnsi="宋体" w:eastAsia="宋体" w:cs="宋体"/>
          <w:sz w:val="21"/>
          <w:szCs w:val="21"/>
        </w:rPr>
      </w:pPr>
      <w:r>
        <w:rPr>
          <w:rFonts w:ascii="宋体" w:hAnsi="宋体" w:eastAsia="宋体" w:cs="宋体"/>
          <w:sz w:val="21"/>
          <w:szCs w:val="21"/>
        </w:rPr>
        <w:t>特此公告。</w:t>
      </w:r>
    </w:p>
    <w:p w14:paraId="69143E92">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宋体" w:hAnsi="宋体" w:eastAsia="宋体" w:cs="宋体"/>
          <w:sz w:val="21"/>
          <w:szCs w:val="21"/>
        </w:rPr>
      </w:pPr>
      <w:r>
        <w:rPr>
          <w:rFonts w:ascii="宋体" w:hAnsi="宋体" w:eastAsia="宋体" w:cs="宋体"/>
          <w:sz w:val="21"/>
          <w:szCs w:val="21"/>
        </w:rPr>
        <w:t>华孚时尚股份有限公司</w:t>
      </w:r>
    </w:p>
    <w:p w14:paraId="7E7E2E73">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宋体" w:hAnsi="宋体" w:eastAsia="宋体" w:cs="宋体"/>
          <w:sz w:val="21"/>
          <w:szCs w:val="21"/>
        </w:rPr>
      </w:pPr>
      <w:r>
        <w:rPr>
          <w:rFonts w:ascii="宋体" w:hAnsi="宋体" w:eastAsia="宋体" w:cs="宋体"/>
          <w:sz w:val="21"/>
          <w:szCs w:val="21"/>
        </w:rPr>
        <w:t>董事会</w:t>
      </w:r>
    </w:p>
    <w:p w14:paraId="5C25AA2F">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二〇二六年七月四日</w:t>
      </w:r>
    </w:p>
    <w:sectPr>
      <w:pgSz w:w="11905" w:h="16840"/>
      <w:pgMar w:top="1134" w:right="1134" w:bottom="1020" w:left="1134" w:header="850"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doNotExpandShiftReturn/>
    <w:useFELayout/>
    <w:compatSetting w:name="compatibilityMode" w:uri="http://schemas.microsoft.com/office/word" w:val="14"/>
  </w:compat>
  <w:rsids>
    <w:rsidRoot w:val="00000000"/>
    <w:rsid w:val="02B3160D"/>
    <w:rsid w:val="03022548"/>
    <w:rsid w:val="2D2E3D77"/>
    <w:rsid w:val="3E64561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Times New Roman" w:hAnsi="Times New Roman" w:eastAsia="宋体" w:cs="Times New Roman"/>
      <w:sz w:val="21"/>
      <w:szCs w:val="22"/>
    </w:rPr>
  </w:style>
  <w:style w:type="paragraph" w:styleId="2">
    <w:name w:val="heading 2"/>
    <w:basedOn w:val="1"/>
    <w:next w:val="1"/>
    <w:unhideWhenUsed/>
    <w:qFormat/>
    <w:uiPriority w:val="9"/>
    <w:pPr>
      <w:keepNext/>
      <w:keepLines/>
      <w:spacing w:before="156" w:after="156" w:line="240" w:lineRule="auto"/>
      <w:outlineLvl w:val="1"/>
    </w:pPr>
    <w:rPr>
      <w:sz w:val="21"/>
      <w:szCs w:val="21"/>
    </w:rPr>
  </w:style>
  <w:style w:type="paragraph" w:styleId="3">
    <w:name w:val="heading 3"/>
    <w:basedOn w:val="1"/>
    <w:next w:val="1"/>
    <w:qFormat/>
    <w:uiPriority w:val="99"/>
    <w:pPr>
      <w:keepNext/>
      <w:keepLines/>
      <w:spacing w:before="300" w:after="300" w:line="241" w:lineRule="auto"/>
      <w:jc w:val="both"/>
      <w:outlineLvl w:val="2"/>
    </w:pPr>
    <w:rPr>
      <w:rFonts w:eastAsia="宋体"/>
      <w:sz w:val="21"/>
      <w:szCs w:val="21"/>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toc 1"/>
    <w:basedOn w:val="1"/>
    <w:next w:val="1"/>
    <w:autoRedefine/>
    <w:qFormat/>
    <w:uiPriority w:val="39"/>
  </w:style>
  <w:style w:type="paragraph" w:styleId="5">
    <w:name w:val="toc 2"/>
    <w:basedOn w:val="1"/>
    <w:next w:val="1"/>
    <w:autoRedefine/>
    <w:unhideWhenUsed/>
    <w:qFormat/>
    <w:uiPriority w:val="39"/>
    <w:pPr>
      <w:ind w:left="420" w:leftChars="200"/>
    </w:p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paragraph" w:customStyle="1" w:styleId="9">
    <w:name w:val="Header 1"/>
    <w:uiPriority w:val="0"/>
    <w:pPr>
      <w:jc w:val="right"/>
    </w:pPr>
    <w:rPr>
      <w:rFonts w:ascii="宋体" w:hAnsi="Times New Roman" w:eastAsia="宋体" w:cs="Times New Roman"/>
      <w:sz w:val="18"/>
      <w:szCs w:val="18"/>
    </w:rPr>
  </w:style>
  <w:style w:type="paragraph" w:customStyle="1" w:styleId="10">
    <w:name w:val="heading h1"/>
    <w:basedOn w:val="1"/>
    <w:next w:val="1"/>
    <w:qFormat/>
    <w:uiPriority w:val="9"/>
    <w:pPr>
      <w:keepNext/>
      <w:keepLines/>
      <w:spacing w:before="240" w:after="240" w:line="578" w:lineRule="auto"/>
      <w:outlineLvl w:val="0"/>
    </w:pPr>
    <w:rPr>
      <w:kern w:val="44"/>
      <w:sz w:val="44"/>
      <w:szCs w:val="44"/>
    </w:rPr>
  </w:style>
  <w:style w:type="paragraph" w:customStyle="1" w:styleId="11">
    <w:name w:val="fotter 1"/>
    <w:qFormat/>
    <w:uiPriority w:val="0"/>
    <w:pPr>
      <w:jc w:val="right"/>
    </w:pPr>
    <w:rPr>
      <w:rFonts w:ascii="宋体"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513</Words>
  <Characters>602</Characters>
  <TotalTime>4</TotalTime>
  <ScaleCrop>false</ScaleCrop>
  <LinksUpToDate>false</LinksUpToDate>
  <CharactersWithSpaces>640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2026-07-03T06:57:00Z</dcterms:created>
  <dc:creator>wangshuying</dc:creator>
  <cp:lastModifiedBy>WSY</cp:lastModifiedBy>
  <dcterms:modified xsi:type="dcterms:W3CDTF">2026-07-03T08:10:10Z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eyJoZGlkIjoiYzAzYzc4OWY4MzI0OGU5NmNmYjc1OGMxNDQ2Zjg0YzciLCJ1c2VySWQiOiIyNjU0NTI1NDMifQ==</vt:lpwstr>
  </property>
  <property fmtid="{D5CDD505-2E9C-101B-9397-08002B2CF9AE}" pid="3" name="KSOProductBuildVer">
    <vt:lpwstr>2052-12.1.0.26895</vt:lpwstr>
  </property>
  <property fmtid="{D5CDD505-2E9C-101B-9397-08002B2CF9AE}" pid="4" name="ICV">
    <vt:lpwstr>1D7EF62012DF42279CBA649BAC2DA499_12</vt:lpwstr>
  </property>
</Properties>
</file>