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B23E">
      <w:pPr>
        <w:spacing w:line="440" w:lineRule="exact"/>
        <w:jc w:val="center"/>
        <w:rPr>
          <w:rFonts w:hint="default" w:ascii="黑体" w:hAnsi="黑体" w:eastAsia="黑体"/>
          <w:bCs/>
          <w:kern w:val="0"/>
          <w:szCs w:val="21"/>
          <w:lang w:val="en-US" w:eastAsia="zh-CN"/>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证券简称：华孚时尚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公告编号：</w:t>
      </w:r>
      <w:r>
        <w:rPr>
          <w:rFonts w:hint="eastAsia" w:ascii="黑体" w:hAnsi="黑体" w:eastAsia="黑体"/>
          <w:bCs/>
          <w:kern w:val="0"/>
          <w:szCs w:val="21"/>
        </w:rPr>
        <w:t>2026-</w:t>
      </w:r>
      <w:r>
        <w:rPr>
          <w:rFonts w:hint="eastAsia" w:ascii="黑体" w:hAnsi="黑体" w:eastAsia="黑体"/>
          <w:bCs/>
          <w:kern w:val="0"/>
          <w:szCs w:val="21"/>
          <w:lang w:val="en-US" w:eastAsia="zh-CN"/>
        </w:rPr>
        <w:t>30</w:t>
      </w:r>
    </w:p>
    <w:p w14:paraId="647C40DB">
      <w:pPr>
        <w:autoSpaceDE w:val="0"/>
        <w:autoSpaceDN w:val="0"/>
        <w:adjustRightInd w:val="0"/>
        <w:rPr>
          <w:rFonts w:asciiTheme="minorEastAsia" w:hAnsiTheme="minorEastAsia" w:eastAsiaTheme="minorEastAsia"/>
          <w:b/>
          <w:kern w:val="0"/>
          <w:sz w:val="36"/>
          <w:szCs w:val="36"/>
        </w:rPr>
      </w:pPr>
    </w:p>
    <w:p w14:paraId="3E4F2037">
      <w:pPr>
        <w:autoSpaceDE w:val="0"/>
        <w:autoSpaceDN w:val="0"/>
        <w:adjustRightInd w:val="0"/>
        <w:jc w:val="center"/>
        <w:rPr>
          <w:rFonts w:asciiTheme="minorEastAsia" w:hAnsiTheme="minorEastAsia" w:eastAsiaTheme="minorEastAsia"/>
          <w:b/>
          <w:kern w:val="0"/>
          <w:sz w:val="36"/>
          <w:szCs w:val="36"/>
        </w:rPr>
      </w:pPr>
      <w:r>
        <w:rPr>
          <w:rFonts w:asciiTheme="minorEastAsia" w:hAnsiTheme="minorEastAsia" w:eastAsiaTheme="minorEastAsia"/>
          <w:b/>
          <w:kern w:val="0"/>
          <w:sz w:val="36"/>
          <w:szCs w:val="36"/>
        </w:rPr>
        <w:t>华孚时尚股份有限公司</w:t>
      </w:r>
    </w:p>
    <w:p w14:paraId="2C964AC7">
      <w:pPr>
        <w:autoSpaceDE w:val="0"/>
        <w:autoSpaceDN w:val="0"/>
        <w:adjustRightInd w:val="0"/>
        <w:jc w:val="center"/>
        <w:rPr>
          <w:rFonts w:hint="eastAsia" w:asciiTheme="minorEastAsia" w:hAnsiTheme="minorEastAsia" w:eastAsiaTheme="minorEastAsia"/>
          <w:b/>
          <w:kern w:val="0"/>
          <w:sz w:val="36"/>
          <w:szCs w:val="36"/>
          <w:lang w:val="en-US" w:eastAsia="zh-CN"/>
        </w:rPr>
      </w:pPr>
      <w:r>
        <w:rPr>
          <w:rFonts w:hint="eastAsia" w:asciiTheme="minorEastAsia" w:hAnsiTheme="minorEastAsia" w:eastAsiaTheme="minorEastAsia"/>
          <w:b/>
          <w:kern w:val="0"/>
          <w:sz w:val="36"/>
          <w:szCs w:val="36"/>
        </w:rPr>
        <w:t>关于出售2023年期已回购股份</w:t>
      </w:r>
      <w:r>
        <w:rPr>
          <w:rFonts w:hint="eastAsia" w:asciiTheme="minorEastAsia" w:hAnsiTheme="minorEastAsia" w:eastAsiaTheme="minorEastAsia"/>
          <w:b/>
          <w:kern w:val="0"/>
          <w:sz w:val="36"/>
          <w:szCs w:val="36"/>
          <w:lang w:val="en-US" w:eastAsia="zh-CN"/>
        </w:rPr>
        <w:t>结果</w:t>
      </w:r>
    </w:p>
    <w:p w14:paraId="41FA08A6">
      <w:pPr>
        <w:autoSpaceDE w:val="0"/>
        <w:autoSpaceDN w:val="0"/>
        <w:adjustRightInd w:val="0"/>
        <w:jc w:val="center"/>
        <w:rPr>
          <w:rFonts w:hint="default" w:asciiTheme="minorEastAsia" w:hAnsiTheme="minorEastAsia" w:eastAsiaTheme="minorEastAsia"/>
          <w:b/>
          <w:kern w:val="0"/>
          <w:sz w:val="36"/>
          <w:szCs w:val="36"/>
          <w:lang w:val="en-US"/>
        </w:rPr>
      </w:pPr>
      <w:r>
        <w:rPr>
          <w:rFonts w:hint="eastAsia" w:asciiTheme="minorEastAsia" w:hAnsiTheme="minorEastAsia" w:eastAsiaTheme="minorEastAsia"/>
          <w:b/>
          <w:kern w:val="0"/>
          <w:sz w:val="36"/>
          <w:szCs w:val="36"/>
          <w:lang w:val="en-US" w:eastAsia="zh-CN"/>
        </w:rPr>
        <w:t>暨股份变动的公告</w:t>
      </w:r>
    </w:p>
    <w:p w14:paraId="0EC783D5">
      <w:pPr>
        <w:autoSpaceDE w:val="0"/>
        <w:autoSpaceDN w:val="0"/>
        <w:adjustRightInd w:val="0"/>
        <w:ind w:firstLine="480" w:firstLineChars="200"/>
        <w:jc w:val="left"/>
        <w:rPr>
          <w:rFonts w:ascii="Times New Roman" w:hAnsi="Times New Roman" w:eastAsia="楷体_GB2312"/>
          <w:kern w:val="0"/>
          <w:sz w:val="24"/>
          <w:szCs w:val="24"/>
        </w:rPr>
      </w:pPr>
    </w:p>
    <w:p w14:paraId="4F312072">
      <w:pPr>
        <w:autoSpaceDE w:val="0"/>
        <w:autoSpaceDN w:val="0"/>
        <w:adjustRightInd w:val="0"/>
        <w:ind w:firstLine="480" w:firstLineChars="200"/>
        <w:jc w:val="left"/>
        <w:rPr>
          <w:rFonts w:ascii="Times New Roman" w:hAnsi="Times New Roman" w:eastAsia="楷体_GB2312"/>
          <w:kern w:val="0"/>
          <w:sz w:val="24"/>
          <w:szCs w:val="24"/>
        </w:rPr>
      </w:pPr>
      <w:r>
        <w:rPr>
          <w:rFonts w:ascii="Times New Roman" w:hAnsi="Times New Roman" w:eastAsia="楷体_GB2312"/>
          <w:kern w:val="0"/>
          <w:sz w:val="24"/>
          <w:szCs w:val="24"/>
        </w:rPr>
        <w:t>本公司及</w:t>
      </w:r>
      <w:r>
        <w:rPr>
          <w:rFonts w:hint="eastAsia" w:ascii="Times New Roman" w:hAnsi="Times New Roman" w:eastAsia="楷体_GB2312"/>
          <w:kern w:val="0"/>
          <w:sz w:val="24"/>
          <w:szCs w:val="24"/>
        </w:rPr>
        <w:t>董</w:t>
      </w:r>
      <w:r>
        <w:rPr>
          <w:rFonts w:ascii="Times New Roman" w:hAnsi="Times New Roman" w:eastAsia="楷体_GB2312"/>
          <w:kern w:val="0"/>
          <w:sz w:val="24"/>
          <w:szCs w:val="24"/>
        </w:rPr>
        <w:t>事会全体成员保证信息披露的内容真实、准确、完整，没有虚假记载、误导性陈述或重大遗漏。</w:t>
      </w:r>
    </w:p>
    <w:p w14:paraId="358AB914">
      <w:pPr>
        <w:spacing w:line="280" w:lineRule="exact"/>
        <w:ind w:firstLine="39" w:firstLineChars="196"/>
        <w:rPr>
          <w:rFonts w:asciiTheme="minorEastAsia" w:hAnsiTheme="minorEastAsia" w:eastAsiaTheme="minorEastAsia"/>
          <w:kern w:val="0"/>
          <w:sz w:val="2"/>
          <w:szCs w:val="24"/>
        </w:rPr>
      </w:pPr>
    </w:p>
    <w:p w14:paraId="5EF9379F">
      <w:p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华孚时尚股份有限公司</w:t>
      </w:r>
      <w:r>
        <w:rPr>
          <w:rFonts w:asciiTheme="minorEastAsia" w:hAnsiTheme="minorEastAsia" w:eastAsiaTheme="minorEastAsia"/>
          <w:kern w:val="0"/>
          <w:sz w:val="24"/>
          <w:szCs w:val="24"/>
        </w:rPr>
        <w:t>（以下简称“公司”）于</w:t>
      </w:r>
      <w:r>
        <w:rPr>
          <w:rFonts w:hint="eastAsia" w:asciiTheme="minorEastAsia" w:hAnsiTheme="minorEastAsia" w:eastAsiaTheme="minorEastAsia"/>
          <w:kern w:val="0"/>
          <w:sz w:val="24"/>
          <w:szCs w:val="24"/>
        </w:rPr>
        <w:t>2026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2</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11</w:t>
      </w:r>
      <w:r>
        <w:rPr>
          <w:rFonts w:asciiTheme="minorEastAsia" w:hAnsiTheme="minorEastAsia" w:eastAsiaTheme="minorEastAsia"/>
          <w:kern w:val="0"/>
          <w:sz w:val="24"/>
          <w:szCs w:val="24"/>
        </w:rPr>
        <w:t>日召开</w:t>
      </w:r>
      <w:r>
        <w:rPr>
          <w:rFonts w:hint="eastAsia" w:asciiTheme="minorEastAsia" w:hAnsiTheme="minorEastAsia" w:eastAsiaTheme="minorEastAsia"/>
          <w:kern w:val="0"/>
          <w:sz w:val="24"/>
          <w:szCs w:val="24"/>
        </w:rPr>
        <w:t>第九届董事会2026年第一次临时会议</w:t>
      </w:r>
      <w:r>
        <w:rPr>
          <w:rFonts w:asciiTheme="minorEastAsia" w:hAnsiTheme="minorEastAsia" w:eastAsiaTheme="minorEastAsia"/>
          <w:kern w:val="0"/>
          <w:sz w:val="24"/>
          <w:szCs w:val="24"/>
        </w:rPr>
        <w:t>，审议通过了《</w:t>
      </w:r>
      <w:r>
        <w:rPr>
          <w:rFonts w:hint="eastAsia" w:asciiTheme="minorEastAsia" w:hAnsiTheme="minorEastAsia" w:eastAsiaTheme="minorEastAsia"/>
          <w:kern w:val="0"/>
          <w:sz w:val="24"/>
          <w:szCs w:val="24"/>
        </w:rPr>
        <w:t>关于以集中竞价交易方式出售2023年期已回购股份计划的议案</w:t>
      </w:r>
      <w:r>
        <w:rPr>
          <w:rFonts w:asciiTheme="minorEastAsia" w:hAnsiTheme="minorEastAsia" w:eastAsiaTheme="minorEastAsia"/>
          <w:kern w:val="0"/>
          <w:sz w:val="24"/>
          <w:szCs w:val="24"/>
        </w:rPr>
        <w:t>》，同意公司自公告披露之日起15个交易日后以集中竞价方式出售</w:t>
      </w:r>
      <w:r>
        <w:rPr>
          <w:rFonts w:hint="eastAsia" w:asciiTheme="minorEastAsia" w:hAnsiTheme="minorEastAsia" w:eastAsiaTheme="minorEastAsia"/>
          <w:kern w:val="0"/>
          <w:sz w:val="24"/>
          <w:szCs w:val="24"/>
        </w:rPr>
        <w:t>2023年期</w:t>
      </w:r>
      <w:r>
        <w:rPr>
          <w:rFonts w:asciiTheme="minorEastAsia" w:hAnsiTheme="minorEastAsia" w:eastAsiaTheme="minorEastAsia"/>
          <w:kern w:val="0"/>
          <w:sz w:val="24"/>
          <w:szCs w:val="24"/>
        </w:rPr>
        <w:t>已回购股份,</w:t>
      </w:r>
      <w:r>
        <w:rPr>
          <w:rFonts w:hint="eastAsia" w:asciiTheme="minorEastAsia" w:hAnsiTheme="minorEastAsia" w:eastAsiaTheme="minorEastAsia"/>
          <w:kern w:val="0"/>
          <w:sz w:val="24"/>
          <w:szCs w:val="24"/>
        </w:rPr>
        <w:t>实施期限为</w:t>
      </w:r>
      <w:r>
        <w:rPr>
          <w:rFonts w:asciiTheme="minorEastAsia" w:hAnsiTheme="minorEastAsia" w:eastAsiaTheme="minorEastAsia"/>
          <w:kern w:val="0"/>
          <w:sz w:val="24"/>
          <w:szCs w:val="24"/>
        </w:rPr>
        <w:t>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3</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16</w:t>
      </w:r>
      <w:r>
        <w:rPr>
          <w:rFonts w:asciiTheme="minorEastAsia" w:hAnsiTheme="minorEastAsia" w:eastAsiaTheme="minorEastAsia"/>
          <w:kern w:val="0"/>
          <w:sz w:val="24"/>
          <w:szCs w:val="24"/>
        </w:rPr>
        <w:t>日至202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19</w:t>
      </w:r>
      <w:r>
        <w:rPr>
          <w:rFonts w:asciiTheme="minorEastAsia" w:hAnsiTheme="minorEastAsia" w:eastAsiaTheme="minorEastAsia"/>
          <w:kern w:val="0"/>
          <w:sz w:val="24"/>
          <w:szCs w:val="24"/>
        </w:rPr>
        <w:t>日</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拟出售回购股份不超过31,275,31</w:t>
      </w:r>
      <w:r>
        <w:rPr>
          <w:rFonts w:hint="eastAsia" w:asciiTheme="minorEastAsia" w:hAnsiTheme="minorEastAsia" w:eastAsiaTheme="minorEastAsia"/>
          <w:kern w:val="0"/>
          <w:sz w:val="24"/>
          <w:szCs w:val="24"/>
        </w:rPr>
        <w:t>4</w:t>
      </w:r>
      <w:r>
        <w:rPr>
          <w:rFonts w:asciiTheme="minorEastAsia" w:hAnsiTheme="minorEastAsia" w:eastAsiaTheme="minorEastAsia"/>
          <w:kern w:val="0"/>
          <w:sz w:val="24"/>
          <w:szCs w:val="24"/>
        </w:rPr>
        <w:t>股（即占公司当前总股本的1.</w:t>
      </w:r>
      <w:r>
        <w:rPr>
          <w:rFonts w:hint="eastAsia" w:asciiTheme="minorEastAsia" w:hAnsiTheme="minorEastAsia" w:eastAsiaTheme="minorEastAsia"/>
          <w:kern w:val="0"/>
          <w:sz w:val="24"/>
          <w:szCs w:val="24"/>
        </w:rPr>
        <w:t>84</w:t>
      </w:r>
      <w:r>
        <w:rPr>
          <w:rFonts w:asciiTheme="minorEastAsia" w:hAnsiTheme="minorEastAsia" w:eastAsiaTheme="minorEastAsia"/>
          <w:kern w:val="0"/>
          <w:sz w:val="24"/>
          <w:szCs w:val="24"/>
        </w:rPr>
        <w:t>%），出售价格根据二级市场价格确定。</w:t>
      </w:r>
      <w:r>
        <w:rPr>
          <w:rFonts w:hint="eastAsia" w:asciiTheme="minorEastAsia" w:hAnsiTheme="minorEastAsia" w:eastAsiaTheme="minorEastAsia"/>
          <w:kern w:val="0"/>
          <w:sz w:val="24"/>
          <w:szCs w:val="24"/>
        </w:rPr>
        <w:t>详见公司于2026年2月12日于</w:t>
      </w:r>
      <w:r>
        <w:rPr>
          <w:rFonts w:asciiTheme="minorEastAsia" w:hAnsiTheme="minorEastAsia" w:eastAsiaTheme="minorEastAsia"/>
          <w:kern w:val="0"/>
          <w:sz w:val="24"/>
          <w:szCs w:val="24"/>
        </w:rPr>
        <w:t>《中国证券报》、《证券时报》及巨潮资讯网（www.cninfo.com.cn）</w:t>
      </w:r>
      <w:r>
        <w:rPr>
          <w:rFonts w:hint="eastAsia" w:asciiTheme="minorEastAsia" w:hAnsiTheme="minorEastAsia" w:eastAsiaTheme="minorEastAsia"/>
          <w:kern w:val="0"/>
          <w:sz w:val="24"/>
          <w:szCs w:val="24"/>
        </w:rPr>
        <w:t>披露的《关于以集中竞价交易方式出售2023年期已回购股份计划的公告》（2026-03）。</w:t>
      </w:r>
    </w:p>
    <w:p w14:paraId="47432CD5">
      <w:pPr>
        <w:autoSpaceDE w:val="0"/>
        <w:autoSpaceDN w:val="0"/>
        <w:adjustRightInd w:val="0"/>
        <w:spacing w:line="360" w:lineRule="auto"/>
        <w:ind w:firstLine="480" w:firstLineChars="200"/>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截至2026年6月18日，公司2023年期已回购股份已通过集中竞价方式出售完毕。现将有关情况公告如下。</w:t>
      </w:r>
    </w:p>
    <w:p w14:paraId="506A3298">
      <w:pPr>
        <w:numPr>
          <w:ilvl w:val="0"/>
          <w:numId w:val="1"/>
        </w:numPr>
        <w:autoSpaceDE w:val="0"/>
        <w:autoSpaceDN w:val="0"/>
        <w:adjustRightInd w:val="0"/>
        <w:spacing w:line="360" w:lineRule="auto"/>
        <w:ind w:firstLine="482" w:firstLineChars="200"/>
        <w:rPr>
          <w:rFonts w:hint="eastAsia"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lang w:val="en-US" w:eastAsia="zh-CN"/>
        </w:rPr>
        <w:t>2023年期已回购股份的基本情况</w:t>
      </w:r>
    </w:p>
    <w:p w14:paraId="5A053829">
      <w:pPr>
        <w:autoSpaceDE w:val="0"/>
        <w:autoSpaceDN w:val="0"/>
        <w:adjustRightInd w:val="0"/>
        <w:spacing w:line="360" w:lineRule="auto"/>
        <w:ind w:firstLine="480" w:firstLineChars="200"/>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lang w:val="en-US" w:eastAsia="zh-CN"/>
        </w:rPr>
        <w:t>公司</w:t>
      </w:r>
      <w:r>
        <w:rPr>
          <w:rFonts w:hint="eastAsia" w:asciiTheme="minorEastAsia" w:hAnsiTheme="minorEastAsia" w:eastAsiaTheme="minorEastAsia"/>
          <w:kern w:val="0"/>
          <w:sz w:val="24"/>
          <w:szCs w:val="24"/>
        </w:rPr>
        <w:t>于2023年3月17日召开第八届董事会2023年第一次临时会议，审议通过了《关于2023年回购公司股份方案的议案》，公司拟使用自有资金以集中竞价交易方式回购已发行的人民币普通股（A股）股份，回购股份用于维护公司价值及股东权益，后续将按相关规定予以出售。回购总金额为不低于人民币10,000万元,不超过人民币20,000万元，回购价格不超过4.60元/股，回购股份的实施期限为自董事会审议通过本次回购股份方案之日起不超过三个月。详见公司于2023年3月18日刊登在《中国证券报》、《证券时报》及巨潮资讯网（www.cninfo.com.cn）上的《关于2023年回购公司股份方案的公告》（2023-07）。</w:t>
      </w:r>
    </w:p>
    <w:p w14:paraId="25A54D09">
      <w:pPr>
        <w:autoSpaceDE w:val="0"/>
        <w:autoSpaceDN w:val="0"/>
        <w:adjustRightInd w:val="0"/>
        <w:spacing w:line="360" w:lineRule="auto"/>
        <w:ind w:firstLine="480" w:firstLineChars="200"/>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截至2023年6月16日，公司本次股份回购已完成。在回购期间，公司通过股份回购专用证券账户以集中竞价交易方式累计回购公司股票31,275,314股，占公司总股本的1.84%（以公司截止2023年6月16日总股本1,700,681,355股为基准），实际回购期间为2023年3月20日至2023年6月16日，其中最高成交价为3.28元/股，最低成交价为3.12元/股，</w:t>
      </w:r>
      <w:r>
        <w:rPr>
          <w:rFonts w:hint="eastAsia" w:asciiTheme="minorEastAsia" w:hAnsiTheme="minorEastAsia" w:eastAsiaTheme="minorEastAsia"/>
          <w:kern w:val="0"/>
          <w:sz w:val="24"/>
          <w:szCs w:val="24"/>
          <w:highlight w:val="none"/>
          <w:lang w:val="en-US" w:eastAsia="zh-CN"/>
        </w:rPr>
        <w:t>回购均价为3.20元/股，</w:t>
      </w:r>
      <w:r>
        <w:rPr>
          <w:rFonts w:hint="eastAsia" w:asciiTheme="minorEastAsia" w:hAnsiTheme="minorEastAsia" w:eastAsiaTheme="minorEastAsia"/>
          <w:kern w:val="0"/>
          <w:sz w:val="24"/>
          <w:szCs w:val="24"/>
        </w:rPr>
        <w:t>成交总金额为人民</w:t>
      </w:r>
      <w:r>
        <w:rPr>
          <w:rFonts w:hint="eastAsia" w:asciiTheme="minorEastAsia" w:hAnsiTheme="minorEastAsia" w:eastAsiaTheme="minorEastAsia"/>
          <w:kern w:val="0"/>
          <w:sz w:val="24"/>
          <w:szCs w:val="24"/>
          <w:lang w:val="en-US" w:eastAsia="zh-CN"/>
        </w:rPr>
        <w:t>币</w:t>
      </w:r>
      <w:r>
        <w:rPr>
          <w:rFonts w:hint="eastAsia" w:asciiTheme="minorEastAsia" w:hAnsiTheme="minorEastAsia" w:eastAsiaTheme="minorEastAsia"/>
          <w:kern w:val="0"/>
          <w:sz w:val="24"/>
          <w:szCs w:val="24"/>
        </w:rPr>
        <w:t>100,128,238.70元（不含交易费用）。</w:t>
      </w:r>
      <w:r>
        <w:rPr>
          <w:rFonts w:hint="eastAsia" w:asciiTheme="minorEastAsia" w:hAnsiTheme="minorEastAsia" w:eastAsiaTheme="minorEastAsia"/>
          <w:kern w:val="0"/>
          <w:sz w:val="24"/>
          <w:szCs w:val="24"/>
          <w:lang w:val="en-US" w:eastAsia="zh-CN"/>
        </w:rPr>
        <w:t>详见公司</w:t>
      </w:r>
      <w:r>
        <w:rPr>
          <w:rFonts w:hint="eastAsia" w:asciiTheme="minorEastAsia" w:hAnsiTheme="minorEastAsia" w:eastAsiaTheme="minorEastAsia"/>
          <w:kern w:val="0"/>
          <w:sz w:val="24"/>
          <w:szCs w:val="24"/>
        </w:rPr>
        <w:t>于2023年</w:t>
      </w:r>
      <w:r>
        <w:rPr>
          <w:rFonts w:hint="eastAsia" w:asciiTheme="minorEastAsia" w:hAnsiTheme="minorEastAsia" w:eastAsiaTheme="minorEastAsia"/>
          <w:kern w:val="0"/>
          <w:sz w:val="24"/>
          <w:szCs w:val="24"/>
          <w:lang w:val="en-US" w:eastAsia="zh-CN"/>
        </w:rPr>
        <w:t>6</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20</w:t>
      </w:r>
      <w:r>
        <w:rPr>
          <w:rFonts w:hint="eastAsia" w:asciiTheme="minorEastAsia" w:hAnsiTheme="minorEastAsia" w:eastAsiaTheme="minorEastAsia"/>
          <w:kern w:val="0"/>
          <w:sz w:val="24"/>
          <w:szCs w:val="24"/>
        </w:rPr>
        <w:t>日刊登在《中国证券报》、《证券时报》及巨潮资讯网（www.cninfo.com.cn）上的《关于2023年回购公司股份方案实施完毕暨股份变动的公告》（2023-</w:t>
      </w:r>
      <w:r>
        <w:rPr>
          <w:rFonts w:hint="eastAsia" w:asciiTheme="minorEastAsia" w:hAnsiTheme="minorEastAsia" w:eastAsiaTheme="minorEastAsia"/>
          <w:kern w:val="0"/>
          <w:sz w:val="24"/>
          <w:szCs w:val="24"/>
          <w:lang w:val="en-US" w:eastAsia="zh-CN"/>
        </w:rPr>
        <w:t>34</w:t>
      </w:r>
      <w:r>
        <w:rPr>
          <w:rFonts w:hint="eastAsia" w:asciiTheme="minorEastAsia" w:hAnsiTheme="minorEastAsia" w:eastAsiaTheme="minorEastAsia"/>
          <w:kern w:val="0"/>
          <w:sz w:val="24"/>
          <w:szCs w:val="24"/>
        </w:rPr>
        <w:t>）。</w:t>
      </w:r>
    </w:p>
    <w:p w14:paraId="0CC21999">
      <w:pPr>
        <w:numPr>
          <w:ilvl w:val="0"/>
          <w:numId w:val="1"/>
        </w:numPr>
        <w:autoSpaceDE w:val="0"/>
        <w:autoSpaceDN w:val="0"/>
        <w:adjustRightInd w:val="0"/>
        <w:spacing w:line="360" w:lineRule="auto"/>
        <w:ind w:firstLine="482" w:firstLineChars="200"/>
        <w:rPr>
          <w:rFonts w:hint="eastAsia"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本次出售2023年期已回购股份</w:t>
      </w:r>
      <w:r>
        <w:rPr>
          <w:rFonts w:hint="eastAsia" w:asciiTheme="minorEastAsia" w:hAnsiTheme="minorEastAsia" w:eastAsiaTheme="minorEastAsia"/>
          <w:b/>
          <w:bCs/>
          <w:kern w:val="0"/>
          <w:sz w:val="24"/>
          <w:szCs w:val="24"/>
          <w:lang w:val="en-US" w:eastAsia="zh-CN"/>
        </w:rPr>
        <w:t>的结果暨股份变动情况</w:t>
      </w:r>
    </w:p>
    <w:p w14:paraId="6D5DF30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lang w:val="en-US" w:eastAsia="zh-CN"/>
        </w:rPr>
        <w:t>截至2026年6月18日，公司共通过集中竞价交易方式累计出售了</w:t>
      </w:r>
      <w:r>
        <w:rPr>
          <w:rFonts w:hint="eastAsia" w:asciiTheme="minorEastAsia" w:hAnsiTheme="minorEastAsia" w:eastAsiaTheme="minorEastAsia"/>
          <w:kern w:val="0"/>
          <w:sz w:val="24"/>
          <w:szCs w:val="24"/>
        </w:rPr>
        <w:t>31,275,314</w:t>
      </w:r>
      <w:r>
        <w:rPr>
          <w:rFonts w:hint="eastAsia" w:asciiTheme="minorEastAsia" w:hAnsiTheme="minorEastAsia" w:eastAsiaTheme="minorEastAsia"/>
          <w:kern w:val="0"/>
          <w:sz w:val="24"/>
          <w:szCs w:val="24"/>
          <w:lang w:val="en-US" w:eastAsia="zh-CN"/>
        </w:rPr>
        <w:t>股，占公司总股本比例为1.84%，</w:t>
      </w:r>
      <w:r>
        <w:rPr>
          <w:rFonts w:hint="eastAsia" w:asciiTheme="minorEastAsia" w:hAnsiTheme="minorEastAsia" w:eastAsiaTheme="minorEastAsia"/>
          <w:kern w:val="0"/>
          <w:sz w:val="24"/>
          <w:szCs w:val="24"/>
        </w:rPr>
        <w:t>出售所得资金总额为</w:t>
      </w:r>
      <w:r>
        <w:rPr>
          <w:rFonts w:hint="eastAsia" w:asciiTheme="minorEastAsia" w:hAnsiTheme="minorEastAsia" w:eastAsiaTheme="minorEastAsia"/>
          <w:kern w:val="0"/>
          <w:sz w:val="24"/>
          <w:szCs w:val="24"/>
          <w:lang w:val="en-US" w:eastAsia="zh-CN"/>
        </w:rPr>
        <w:t>130,123,962.16</w:t>
      </w:r>
      <w:r>
        <w:rPr>
          <w:rFonts w:hint="eastAsia" w:asciiTheme="minorEastAsia" w:hAnsiTheme="minorEastAsia" w:eastAsiaTheme="minorEastAsia"/>
          <w:kern w:val="0"/>
          <w:sz w:val="24"/>
          <w:szCs w:val="24"/>
        </w:rPr>
        <w:t>元（不含交易费用），成交最高价为</w:t>
      </w:r>
      <w:r>
        <w:rPr>
          <w:rFonts w:hint="eastAsia" w:asciiTheme="minorEastAsia" w:hAnsiTheme="minorEastAsia" w:eastAsiaTheme="minorEastAsia"/>
          <w:kern w:val="0"/>
          <w:sz w:val="24"/>
          <w:szCs w:val="24"/>
          <w:lang w:val="en-US" w:eastAsia="zh-CN"/>
        </w:rPr>
        <w:t>4.63</w:t>
      </w:r>
      <w:r>
        <w:rPr>
          <w:rFonts w:hint="eastAsia" w:asciiTheme="minorEastAsia" w:hAnsiTheme="minorEastAsia" w:eastAsiaTheme="minorEastAsia"/>
          <w:kern w:val="0"/>
          <w:sz w:val="24"/>
          <w:szCs w:val="24"/>
        </w:rPr>
        <w:t>元/股，成交最低价为</w:t>
      </w:r>
      <w:r>
        <w:rPr>
          <w:rFonts w:hint="eastAsia" w:asciiTheme="minorEastAsia" w:hAnsiTheme="minorEastAsia" w:eastAsiaTheme="minorEastAsia"/>
          <w:kern w:val="0"/>
          <w:sz w:val="24"/>
          <w:szCs w:val="24"/>
          <w:lang w:val="en-US" w:eastAsia="zh-CN"/>
        </w:rPr>
        <w:t>3.62</w:t>
      </w:r>
      <w:r>
        <w:rPr>
          <w:rFonts w:hint="eastAsia" w:asciiTheme="minorEastAsia" w:hAnsiTheme="minorEastAsia" w:eastAsiaTheme="minorEastAsia"/>
          <w:kern w:val="0"/>
          <w:sz w:val="24"/>
          <w:szCs w:val="24"/>
        </w:rPr>
        <w:t>元/股，成交均价为</w:t>
      </w:r>
      <w:r>
        <w:rPr>
          <w:rFonts w:hint="eastAsia" w:asciiTheme="minorEastAsia" w:hAnsiTheme="minorEastAsia" w:eastAsiaTheme="minorEastAsia"/>
          <w:kern w:val="0"/>
          <w:sz w:val="24"/>
          <w:szCs w:val="24"/>
          <w:lang w:val="en-US" w:eastAsia="zh-CN"/>
        </w:rPr>
        <w:t>4.16</w:t>
      </w:r>
      <w:r>
        <w:rPr>
          <w:rFonts w:hint="eastAsia" w:asciiTheme="minorEastAsia" w:hAnsiTheme="minorEastAsia" w:eastAsiaTheme="minorEastAsia"/>
          <w:kern w:val="0"/>
          <w:sz w:val="24"/>
          <w:szCs w:val="24"/>
        </w:rPr>
        <w:t>元/股</w:t>
      </w:r>
      <w:r>
        <w:rPr>
          <w:rFonts w:hint="eastAsia" w:asciiTheme="minorEastAsia" w:hAnsiTheme="minorEastAsia" w:eastAsiaTheme="minorEastAsia"/>
          <w:kern w:val="0"/>
          <w:sz w:val="24"/>
          <w:szCs w:val="24"/>
          <w:lang w:eastAsia="zh-CN"/>
        </w:rPr>
        <w:t>。</w:t>
      </w:r>
    </w:p>
    <w:p w14:paraId="7915413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股份变动情况如下。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664"/>
        <w:gridCol w:w="1540"/>
        <w:gridCol w:w="1705"/>
        <w:gridCol w:w="1705"/>
      </w:tblGrid>
      <w:tr w14:paraId="7562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restart"/>
            <w:vAlign w:val="center"/>
          </w:tcPr>
          <w:p w14:paraId="0087F33E">
            <w:pPr>
              <w:autoSpaceDE w:val="0"/>
              <w:autoSpaceDN w:val="0"/>
              <w:adjustRightIn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类别</w:t>
            </w:r>
          </w:p>
        </w:tc>
        <w:tc>
          <w:tcPr>
            <w:tcW w:w="3204" w:type="dxa"/>
            <w:gridSpan w:val="2"/>
            <w:vAlign w:val="center"/>
          </w:tcPr>
          <w:p w14:paraId="50095699">
            <w:pPr>
              <w:autoSpaceDE w:val="0"/>
              <w:autoSpaceDN w:val="0"/>
              <w:adjustRightIn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本次回购出售前</w:t>
            </w:r>
          </w:p>
        </w:tc>
        <w:tc>
          <w:tcPr>
            <w:tcW w:w="3410" w:type="dxa"/>
            <w:gridSpan w:val="2"/>
            <w:vAlign w:val="center"/>
          </w:tcPr>
          <w:p w14:paraId="054E2F3A">
            <w:pPr>
              <w:autoSpaceDE w:val="0"/>
              <w:autoSpaceDN w:val="0"/>
              <w:adjustRightIn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本次回购出售后</w:t>
            </w:r>
          </w:p>
        </w:tc>
      </w:tr>
      <w:tr w14:paraId="75C8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tcPr>
          <w:p w14:paraId="2249523A">
            <w:pPr>
              <w:autoSpaceDE w:val="0"/>
              <w:autoSpaceDN w:val="0"/>
              <w:adjustRightInd w:val="0"/>
              <w:spacing w:line="360" w:lineRule="auto"/>
              <w:rPr>
                <w:rFonts w:asciiTheme="minorEastAsia" w:hAnsiTheme="minorEastAsia" w:eastAsiaTheme="minorEastAsia"/>
                <w:kern w:val="0"/>
                <w:szCs w:val="21"/>
              </w:rPr>
            </w:pPr>
          </w:p>
        </w:tc>
        <w:tc>
          <w:tcPr>
            <w:tcW w:w="1664" w:type="dxa"/>
            <w:vAlign w:val="center"/>
          </w:tcPr>
          <w:p w14:paraId="7B9AEFC0">
            <w:pPr>
              <w:autoSpaceDE w:val="0"/>
              <w:autoSpaceDN w:val="0"/>
              <w:adjustRightIn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股份数量（股）</w:t>
            </w:r>
          </w:p>
        </w:tc>
        <w:tc>
          <w:tcPr>
            <w:tcW w:w="1540" w:type="dxa"/>
            <w:vAlign w:val="center"/>
          </w:tcPr>
          <w:p w14:paraId="4821EE9B">
            <w:pPr>
              <w:autoSpaceDE w:val="0"/>
              <w:autoSpaceDN w:val="0"/>
              <w:adjustRightIn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比例（%）</w:t>
            </w:r>
          </w:p>
        </w:tc>
        <w:tc>
          <w:tcPr>
            <w:tcW w:w="1705" w:type="dxa"/>
            <w:shd w:val="clear" w:color="auto" w:fill="auto"/>
            <w:vAlign w:val="center"/>
          </w:tcPr>
          <w:p w14:paraId="67BA9261">
            <w:pPr>
              <w:autoSpaceDE w:val="0"/>
              <w:autoSpaceDN w:val="0"/>
              <w:adjustRightIn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股份数量（股）</w:t>
            </w:r>
          </w:p>
        </w:tc>
        <w:tc>
          <w:tcPr>
            <w:tcW w:w="1705" w:type="dxa"/>
            <w:shd w:val="clear" w:color="auto" w:fill="auto"/>
            <w:vAlign w:val="center"/>
          </w:tcPr>
          <w:p w14:paraId="2C766711">
            <w:pPr>
              <w:autoSpaceDE w:val="0"/>
              <w:autoSpaceDN w:val="0"/>
              <w:adjustRightIn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比例（%）</w:t>
            </w:r>
          </w:p>
        </w:tc>
      </w:tr>
      <w:tr w14:paraId="6451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0D122499">
            <w:pPr>
              <w:autoSpaceDE w:val="0"/>
              <w:autoSpaceDN w:val="0"/>
              <w:adjustRightInd w:val="0"/>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有限售条件的股份</w:t>
            </w:r>
          </w:p>
        </w:tc>
        <w:tc>
          <w:tcPr>
            <w:tcW w:w="1664" w:type="dxa"/>
            <w:vAlign w:val="center"/>
          </w:tcPr>
          <w:p w14:paraId="35E903D8">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0</w:t>
            </w:r>
          </w:p>
        </w:tc>
        <w:tc>
          <w:tcPr>
            <w:tcW w:w="1540" w:type="dxa"/>
            <w:vAlign w:val="center"/>
          </w:tcPr>
          <w:p w14:paraId="10CD9D6F">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0</w:t>
            </w:r>
          </w:p>
        </w:tc>
        <w:tc>
          <w:tcPr>
            <w:tcW w:w="1705" w:type="dxa"/>
            <w:vAlign w:val="center"/>
          </w:tcPr>
          <w:p w14:paraId="5C07B107">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0</w:t>
            </w:r>
          </w:p>
        </w:tc>
        <w:tc>
          <w:tcPr>
            <w:tcW w:w="1705" w:type="dxa"/>
            <w:vAlign w:val="center"/>
          </w:tcPr>
          <w:p w14:paraId="61F68545">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0</w:t>
            </w:r>
          </w:p>
        </w:tc>
      </w:tr>
      <w:tr w14:paraId="6896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272C3F7B">
            <w:pPr>
              <w:autoSpaceDE w:val="0"/>
              <w:autoSpaceDN w:val="0"/>
              <w:adjustRightInd w:val="0"/>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无限售条件的股份</w:t>
            </w:r>
          </w:p>
        </w:tc>
        <w:tc>
          <w:tcPr>
            <w:tcW w:w="1664" w:type="dxa"/>
            <w:vAlign w:val="center"/>
          </w:tcPr>
          <w:p w14:paraId="3F55C514">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1,700,681,355</w:t>
            </w:r>
          </w:p>
        </w:tc>
        <w:tc>
          <w:tcPr>
            <w:tcW w:w="1540" w:type="dxa"/>
            <w:vAlign w:val="center"/>
          </w:tcPr>
          <w:p w14:paraId="7D1E2FB0">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100</w:t>
            </w:r>
          </w:p>
        </w:tc>
        <w:tc>
          <w:tcPr>
            <w:tcW w:w="1705" w:type="dxa"/>
            <w:shd w:val="clear" w:color="auto" w:fill="auto"/>
            <w:vAlign w:val="center"/>
          </w:tcPr>
          <w:p w14:paraId="6B8C5F0D">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1,700,681,355</w:t>
            </w:r>
          </w:p>
        </w:tc>
        <w:tc>
          <w:tcPr>
            <w:tcW w:w="1705" w:type="dxa"/>
            <w:shd w:val="clear" w:color="auto" w:fill="auto"/>
            <w:vAlign w:val="center"/>
          </w:tcPr>
          <w:p w14:paraId="3CF128A5">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100</w:t>
            </w:r>
          </w:p>
        </w:tc>
      </w:tr>
      <w:tr w14:paraId="6C12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74738ADE">
            <w:pPr>
              <w:autoSpaceDE w:val="0"/>
              <w:autoSpaceDN w:val="0"/>
              <w:adjustRightInd w:val="0"/>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其中：回购专用证券账户</w:t>
            </w:r>
          </w:p>
        </w:tc>
        <w:tc>
          <w:tcPr>
            <w:tcW w:w="1664" w:type="dxa"/>
            <w:vAlign w:val="center"/>
          </w:tcPr>
          <w:p w14:paraId="0CBAAA7C">
            <w:pPr>
              <w:autoSpaceDE w:val="0"/>
              <w:autoSpaceDN w:val="0"/>
              <w:adjustRightInd w:val="0"/>
              <w:jc w:val="right"/>
              <w:rPr>
                <w:rFonts w:asciiTheme="minorEastAsia" w:hAnsiTheme="minorEastAsia" w:eastAsiaTheme="minorEastAsia"/>
                <w:kern w:val="0"/>
                <w:szCs w:val="21"/>
              </w:rPr>
            </w:pPr>
            <w:r>
              <w:rPr>
                <w:rFonts w:asciiTheme="minorEastAsia" w:hAnsiTheme="minorEastAsia" w:eastAsiaTheme="minorEastAsia"/>
                <w:kern w:val="0"/>
                <w:szCs w:val="21"/>
              </w:rPr>
              <w:t>95</w:t>
            </w:r>
            <w:r>
              <w:rPr>
                <w:rFonts w:hint="eastAsia" w:asciiTheme="minorEastAsia" w:hAnsiTheme="minorEastAsia" w:eastAsiaTheme="minorEastAsia"/>
                <w:kern w:val="0"/>
                <w:szCs w:val="21"/>
              </w:rPr>
              <w:t>,</w:t>
            </w:r>
            <w:r>
              <w:rPr>
                <w:rFonts w:asciiTheme="minorEastAsia" w:hAnsiTheme="minorEastAsia" w:eastAsiaTheme="minorEastAsia"/>
                <w:kern w:val="0"/>
                <w:szCs w:val="21"/>
              </w:rPr>
              <w:t>478</w:t>
            </w:r>
            <w:r>
              <w:rPr>
                <w:rFonts w:hint="eastAsia" w:asciiTheme="minorEastAsia" w:hAnsiTheme="minorEastAsia" w:eastAsiaTheme="minorEastAsia"/>
                <w:kern w:val="0"/>
                <w:szCs w:val="21"/>
              </w:rPr>
              <w:t>,</w:t>
            </w:r>
            <w:r>
              <w:rPr>
                <w:rFonts w:asciiTheme="minorEastAsia" w:hAnsiTheme="minorEastAsia" w:eastAsiaTheme="minorEastAsia"/>
                <w:kern w:val="0"/>
                <w:szCs w:val="21"/>
              </w:rPr>
              <w:t>485</w:t>
            </w:r>
          </w:p>
        </w:tc>
        <w:tc>
          <w:tcPr>
            <w:tcW w:w="1540" w:type="dxa"/>
            <w:vAlign w:val="center"/>
          </w:tcPr>
          <w:p w14:paraId="28867F10">
            <w:pPr>
              <w:autoSpaceDE w:val="0"/>
              <w:autoSpaceDN w:val="0"/>
              <w:adjustRightInd w:val="0"/>
              <w:jc w:val="right"/>
              <w:rPr>
                <w:rFonts w:asciiTheme="minorEastAsia" w:hAnsiTheme="minorEastAsia" w:eastAsiaTheme="minorEastAsia"/>
                <w:kern w:val="0"/>
                <w:szCs w:val="21"/>
              </w:rPr>
            </w:pPr>
            <w:r>
              <w:rPr>
                <w:rFonts w:asciiTheme="minorEastAsia" w:hAnsiTheme="minorEastAsia" w:eastAsiaTheme="minorEastAsia"/>
                <w:kern w:val="0"/>
                <w:szCs w:val="21"/>
              </w:rPr>
              <w:t>5.61</w:t>
            </w:r>
          </w:p>
        </w:tc>
        <w:tc>
          <w:tcPr>
            <w:tcW w:w="1705" w:type="dxa"/>
            <w:vAlign w:val="center"/>
          </w:tcPr>
          <w:p w14:paraId="34993162">
            <w:pPr>
              <w:autoSpaceDE w:val="0"/>
              <w:autoSpaceDN w:val="0"/>
              <w:adjustRightInd w:val="0"/>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34,403,171</w:t>
            </w:r>
          </w:p>
        </w:tc>
        <w:tc>
          <w:tcPr>
            <w:tcW w:w="1705" w:type="dxa"/>
            <w:vAlign w:val="center"/>
          </w:tcPr>
          <w:p w14:paraId="3C6A5196">
            <w:pPr>
              <w:autoSpaceDE w:val="0"/>
              <w:autoSpaceDN w:val="0"/>
              <w:adjustRightInd w:val="0"/>
              <w:jc w:val="right"/>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2.02</w:t>
            </w:r>
          </w:p>
        </w:tc>
      </w:tr>
      <w:tr w14:paraId="33BC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A5C5308">
            <w:pPr>
              <w:autoSpaceDE w:val="0"/>
              <w:autoSpaceDN w:val="0"/>
              <w:adjustRightIn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b/>
                <w:bCs/>
                <w:kern w:val="0"/>
                <w:szCs w:val="21"/>
              </w:rPr>
              <w:t>总计</w:t>
            </w:r>
          </w:p>
        </w:tc>
        <w:tc>
          <w:tcPr>
            <w:tcW w:w="1664" w:type="dxa"/>
            <w:shd w:val="clear" w:color="auto" w:fill="auto"/>
            <w:vAlign w:val="center"/>
          </w:tcPr>
          <w:p w14:paraId="29B2BDA1">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1,700,681,355</w:t>
            </w:r>
          </w:p>
        </w:tc>
        <w:tc>
          <w:tcPr>
            <w:tcW w:w="1540" w:type="dxa"/>
            <w:shd w:val="clear" w:color="auto" w:fill="auto"/>
            <w:vAlign w:val="center"/>
          </w:tcPr>
          <w:p w14:paraId="18147FE1">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100</w:t>
            </w:r>
          </w:p>
        </w:tc>
        <w:tc>
          <w:tcPr>
            <w:tcW w:w="1705" w:type="dxa"/>
            <w:shd w:val="clear" w:color="auto" w:fill="auto"/>
            <w:vAlign w:val="center"/>
          </w:tcPr>
          <w:p w14:paraId="147681A8">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1,700,681,355</w:t>
            </w:r>
          </w:p>
        </w:tc>
        <w:tc>
          <w:tcPr>
            <w:tcW w:w="1705" w:type="dxa"/>
            <w:shd w:val="clear" w:color="auto" w:fill="auto"/>
            <w:vAlign w:val="center"/>
          </w:tcPr>
          <w:p w14:paraId="17D48B0D">
            <w:pPr>
              <w:autoSpaceDE w:val="0"/>
              <w:autoSpaceDN w:val="0"/>
              <w:adjustRightInd w:val="0"/>
              <w:spacing w:line="360" w:lineRule="auto"/>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100</w:t>
            </w:r>
          </w:p>
        </w:tc>
      </w:tr>
    </w:tbl>
    <w:p w14:paraId="6A1C283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其中，回购专用证券账户中本次回购出售前及本次回购出售后持有的部分股份差额（2,980万股）系2022年期已回购股份过户至公司第四期员工持股计划所致。详见公司于2026年3月20日于</w:t>
      </w:r>
      <w:r>
        <w:rPr>
          <w:rFonts w:hint="eastAsia" w:asciiTheme="minorEastAsia" w:hAnsiTheme="minorEastAsia" w:eastAsiaTheme="minorEastAsia"/>
          <w:kern w:val="0"/>
          <w:sz w:val="24"/>
          <w:szCs w:val="24"/>
        </w:rPr>
        <w:t>《中国证券报》《证券时报》及巨潮资讯网（www.cninfo.com.cn）</w:t>
      </w:r>
      <w:r>
        <w:rPr>
          <w:rFonts w:hint="eastAsia" w:asciiTheme="minorEastAsia" w:hAnsiTheme="minorEastAsia" w:eastAsiaTheme="minorEastAsia"/>
          <w:kern w:val="0"/>
          <w:sz w:val="24"/>
          <w:szCs w:val="24"/>
          <w:lang w:val="en-US" w:eastAsia="zh-CN"/>
        </w:rPr>
        <w:t>披露的《关于第四期员工持股计划非交易过户完成暨2022年期已回购股份处理完成的公告》（2026-07）。</w:t>
      </w:r>
    </w:p>
    <w:p w14:paraId="275ACC0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本次出售计划的实施情况与公司的既定方案不存在差异，符合《深圳证券交易所上市公司自律监管指引第9号——回购股份》（以下简称“《回购指引》”）的相关规定。</w:t>
      </w:r>
    </w:p>
    <w:p w14:paraId="7971899D">
      <w:pPr>
        <w:numPr>
          <w:ilvl w:val="0"/>
          <w:numId w:val="1"/>
        </w:numPr>
        <w:autoSpaceDE w:val="0"/>
        <w:autoSpaceDN w:val="0"/>
        <w:adjustRightInd w:val="0"/>
        <w:spacing w:line="360" w:lineRule="auto"/>
        <w:ind w:firstLine="482" w:firstLineChars="200"/>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lang w:val="en-US" w:eastAsia="zh-CN"/>
        </w:rPr>
        <w:t>本次出售2023年期已回购股份对公司的影响</w:t>
      </w:r>
    </w:p>
    <w:p w14:paraId="2D14E16B">
      <w:p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公司本次出售已回购股份所得的资金，将用于补充公司营运资金，有利于提高公司资金使用效率，提升公司持续经营能力，维护公司和广大投资者的利益。根据企业会计准则的相关规定，本次出售股份价格与回购股份价格的差额部分将计入公司资本公积，不影响公司当期利润，不会对公司的经营、财务和未来发展产生重大影响。</w:t>
      </w:r>
    </w:p>
    <w:p w14:paraId="1B2668A3">
      <w:pPr>
        <w:numPr>
          <w:ilvl w:val="0"/>
          <w:numId w:val="1"/>
        </w:numPr>
        <w:autoSpaceDE w:val="0"/>
        <w:autoSpaceDN w:val="0"/>
        <w:adjustRightInd w:val="0"/>
        <w:spacing w:line="360" w:lineRule="auto"/>
        <w:ind w:firstLine="482" w:firstLineChars="200"/>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lang w:val="en-US" w:eastAsia="zh-CN"/>
        </w:rPr>
        <w:t>其他说明</w:t>
      </w:r>
    </w:p>
    <w:p w14:paraId="4871FD2E">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b w:val="0"/>
          <w:bCs w:val="0"/>
          <w:kern w:val="0"/>
          <w:sz w:val="24"/>
          <w:szCs w:val="24"/>
          <w:lang w:val="en-US" w:eastAsia="zh-CN"/>
        </w:rPr>
        <w:t>公司未在《</w:t>
      </w:r>
      <w:r>
        <w:rPr>
          <w:rFonts w:hint="eastAsia" w:asciiTheme="minorEastAsia" w:hAnsiTheme="minorEastAsia" w:eastAsiaTheme="minorEastAsia"/>
          <w:kern w:val="0"/>
          <w:sz w:val="24"/>
          <w:szCs w:val="24"/>
          <w:lang w:val="en-US" w:eastAsia="zh-CN"/>
        </w:rPr>
        <w:t>回购指引》第四十一条规定的下列禁止交易期间交易。</w:t>
      </w:r>
    </w:p>
    <w:p w14:paraId="2D1CAC6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（1）公司年度报告、半年度报告公告前十个交易日内，因特殊原因推迟公告日期的，自原预约公告日前十个交易日起算，至公告前一交易日；</w:t>
      </w:r>
    </w:p>
    <w:p w14:paraId="6EE50CB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（2）公司季度报告、业绩预告、业绩快报公告前十个交易日内；</w:t>
      </w:r>
    </w:p>
    <w:p w14:paraId="394C4FD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（3）自可能对本公司证券及其衍生品种交易价格产生重大影响的重大事项发生之日或者在决策过程中，至依法披露之日内；</w:t>
      </w:r>
    </w:p>
    <w:p w14:paraId="5EFD6D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（4）中国证监会和深圳证券交易所规定的其他情形。</w:t>
      </w:r>
    </w:p>
    <w:p w14:paraId="0100A50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2、公司出售的数量、委托价格及委托时间符合</w:t>
      </w:r>
      <w:r>
        <w:rPr>
          <w:rFonts w:hint="eastAsia" w:asciiTheme="minorEastAsia" w:hAnsiTheme="minorEastAsia" w:eastAsiaTheme="minorEastAsia"/>
          <w:b w:val="0"/>
          <w:bCs w:val="0"/>
          <w:kern w:val="0"/>
          <w:sz w:val="24"/>
          <w:szCs w:val="24"/>
          <w:lang w:val="en-US" w:eastAsia="zh-CN"/>
        </w:rPr>
        <w:t>《</w:t>
      </w:r>
      <w:r>
        <w:rPr>
          <w:rFonts w:hint="eastAsia" w:asciiTheme="minorEastAsia" w:hAnsiTheme="minorEastAsia" w:eastAsiaTheme="minorEastAsia"/>
          <w:kern w:val="0"/>
          <w:sz w:val="24"/>
          <w:szCs w:val="24"/>
          <w:lang w:val="en-US" w:eastAsia="zh-CN"/>
        </w:rPr>
        <w:t>回购指引》第四十三条的相关规定。</w:t>
      </w:r>
    </w:p>
    <w:p w14:paraId="76AB07B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（1）委托价格不得为公司股票当日交易跌幅限制的价格；</w:t>
      </w:r>
    </w:p>
    <w:p w14:paraId="533BC01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（2）不得在本所开盘集合竞价、收盘前半小时内及股票价格无涨跌幅限制的交易日内进行出售的委托；</w:t>
      </w:r>
    </w:p>
    <w:p w14:paraId="6F33634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3）每日出售的数量不得超过出售预披露日前二十个交易日日均成交量的百分之二十五，但每日出售数量不超过二十万股的除外。公司出售预披露日前二十个交易日日均成交量为3,336.85万股，公司单日最大出售数量为829.79万股，未超过出售预披露日前二十个交易日日均成交量的百分之二十五（即834.21万股）。</w:t>
      </w:r>
    </w:p>
    <w:p w14:paraId="39B9818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（4）在任意连续九十日内，出售股份的总数不得超过公司股份总数的百分之一；</w:t>
      </w:r>
    </w:p>
    <w:p w14:paraId="5442D3F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（5）中国证监会和深圳证券交易所规定的其他要求。</w:t>
      </w:r>
    </w:p>
    <w:p w14:paraId="1C6855F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3、</w:t>
      </w:r>
      <w:r>
        <w:rPr>
          <w:rFonts w:hint="default" w:asciiTheme="minorEastAsia" w:hAnsiTheme="minorEastAsia" w:eastAsiaTheme="minorEastAsia"/>
          <w:kern w:val="0"/>
          <w:sz w:val="24"/>
          <w:szCs w:val="24"/>
          <w:lang w:val="en-US" w:eastAsia="zh-CN"/>
        </w:rPr>
        <w:t>本次</w:t>
      </w:r>
      <w:r>
        <w:rPr>
          <w:rFonts w:hint="eastAsia" w:asciiTheme="minorEastAsia" w:hAnsiTheme="minorEastAsia" w:eastAsiaTheme="minorEastAsia"/>
          <w:kern w:val="0"/>
          <w:sz w:val="24"/>
          <w:szCs w:val="24"/>
          <w:lang w:val="en-US" w:eastAsia="zh-CN"/>
        </w:rPr>
        <w:t>出售2023年期</w:t>
      </w:r>
      <w:r>
        <w:rPr>
          <w:rFonts w:hint="default" w:asciiTheme="minorEastAsia" w:hAnsiTheme="minorEastAsia" w:eastAsiaTheme="minorEastAsia"/>
          <w:kern w:val="0"/>
          <w:sz w:val="24"/>
          <w:szCs w:val="24"/>
          <w:lang w:val="en-US" w:eastAsia="zh-CN"/>
        </w:rPr>
        <w:t>已回购股份事项符合公司既定的</w:t>
      </w:r>
      <w:r>
        <w:rPr>
          <w:rFonts w:hint="eastAsia" w:asciiTheme="minorEastAsia" w:hAnsiTheme="minorEastAsia" w:eastAsiaTheme="minorEastAsia"/>
          <w:kern w:val="0"/>
          <w:sz w:val="24"/>
          <w:szCs w:val="24"/>
          <w:lang w:val="en-US" w:eastAsia="zh-CN"/>
        </w:rPr>
        <w:t>出售</w:t>
      </w:r>
      <w:r>
        <w:rPr>
          <w:rFonts w:hint="default" w:asciiTheme="minorEastAsia" w:hAnsiTheme="minorEastAsia" w:eastAsiaTheme="minorEastAsia"/>
          <w:kern w:val="0"/>
          <w:sz w:val="24"/>
          <w:szCs w:val="24"/>
          <w:lang w:val="en-US" w:eastAsia="zh-CN"/>
        </w:rPr>
        <w:t>计划，符合《回购指引》等相关规定。</w:t>
      </w:r>
      <w:r>
        <w:rPr>
          <w:rFonts w:hint="eastAsia" w:asciiTheme="minorEastAsia" w:hAnsiTheme="minorEastAsia" w:eastAsiaTheme="minorEastAsia"/>
          <w:kern w:val="0"/>
          <w:sz w:val="24"/>
          <w:szCs w:val="24"/>
          <w:lang w:val="en-US" w:eastAsia="zh-CN"/>
        </w:rPr>
        <w:t>在出售2023年期已回购</w:t>
      </w:r>
      <w:r>
        <w:rPr>
          <w:rFonts w:hint="default" w:asciiTheme="minorEastAsia" w:hAnsiTheme="minorEastAsia" w:eastAsiaTheme="minorEastAsia"/>
          <w:kern w:val="0"/>
          <w:sz w:val="24"/>
          <w:szCs w:val="24"/>
          <w:lang w:val="en-US" w:eastAsia="zh-CN"/>
        </w:rPr>
        <w:t>股份期间，公司严格按照有关法律、行政法规、部门规章及规范性文件等相关规定，及时履行信息披露义务。</w:t>
      </w:r>
      <w:r>
        <w:rPr>
          <w:rFonts w:asciiTheme="minorEastAsia" w:hAnsiTheme="minorEastAsia" w:eastAsiaTheme="minorEastAsia"/>
          <w:kern w:val="0"/>
          <w:sz w:val="24"/>
          <w:szCs w:val="24"/>
        </w:rPr>
        <w:t>敬请广大投资者谨慎投资，注意投资风险</w:t>
      </w:r>
      <w:r>
        <w:rPr>
          <w:rFonts w:hint="eastAsia" w:asciiTheme="minorEastAsia" w:hAnsiTheme="minorEastAsia" w:eastAsiaTheme="minorEastAsia"/>
          <w:kern w:val="0"/>
          <w:sz w:val="24"/>
          <w:szCs w:val="24"/>
        </w:rPr>
        <w:t>。</w:t>
      </w:r>
    </w:p>
    <w:p w14:paraId="27A786EE">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特此</w:t>
      </w:r>
      <w:r>
        <w:rPr>
          <w:rFonts w:hint="eastAsia" w:asciiTheme="minorEastAsia" w:hAnsiTheme="minorEastAsia" w:eastAsiaTheme="minorEastAsia"/>
          <w:kern w:val="0"/>
          <w:sz w:val="24"/>
          <w:szCs w:val="24"/>
        </w:rPr>
        <w:t>公告</w:t>
      </w:r>
      <w:r>
        <w:rPr>
          <w:rFonts w:asciiTheme="minorEastAsia" w:hAnsiTheme="minorEastAsia" w:eastAsiaTheme="minorEastAsia"/>
          <w:kern w:val="0"/>
          <w:sz w:val="24"/>
          <w:szCs w:val="24"/>
        </w:rPr>
        <w:t>。</w:t>
      </w:r>
    </w:p>
    <w:p w14:paraId="7B92D485">
      <w:pPr>
        <w:autoSpaceDE w:val="0"/>
        <w:autoSpaceDN w:val="0"/>
        <w:adjustRightInd w:val="0"/>
        <w:spacing w:line="480" w:lineRule="exact"/>
        <w:jc w:val="right"/>
        <w:rPr>
          <w:rFonts w:asciiTheme="minorEastAsia" w:hAnsiTheme="minorEastAsia" w:eastAsiaTheme="minorEastAsia"/>
          <w:kern w:val="0"/>
          <w:sz w:val="24"/>
          <w:szCs w:val="24"/>
        </w:rPr>
      </w:pPr>
      <w:r>
        <w:rPr>
          <w:rFonts w:asciiTheme="minorEastAsia" w:hAnsiTheme="minorEastAsia" w:eastAsiaTheme="minorEastAsia"/>
          <w:kern w:val="0"/>
          <w:sz w:val="24"/>
          <w:szCs w:val="24"/>
        </w:rPr>
        <w:t>华孚时尚股份有限公司</w:t>
      </w:r>
      <w:r>
        <w:rPr>
          <w:rFonts w:hint="eastAsia" w:asciiTheme="minorEastAsia" w:hAnsiTheme="minorEastAsia" w:eastAsiaTheme="minorEastAsia"/>
          <w:kern w:val="0"/>
          <w:sz w:val="24"/>
          <w:szCs w:val="24"/>
        </w:rPr>
        <w:t>董</w:t>
      </w:r>
      <w:r>
        <w:rPr>
          <w:rFonts w:asciiTheme="minorEastAsia" w:hAnsiTheme="minorEastAsia" w:eastAsiaTheme="minorEastAsia"/>
          <w:kern w:val="0"/>
          <w:sz w:val="24"/>
          <w:szCs w:val="24"/>
        </w:rPr>
        <w:t>事会</w:t>
      </w:r>
    </w:p>
    <w:p w14:paraId="5CDB498B">
      <w:pPr>
        <w:autoSpaceDE w:val="0"/>
        <w:autoSpaceDN w:val="0"/>
        <w:adjustRightInd w:val="0"/>
        <w:spacing w:line="480" w:lineRule="exact"/>
        <w:jc w:val="right"/>
        <w:rPr>
          <w:rFonts w:asciiTheme="minorEastAsia" w:hAnsiTheme="minorEastAsia" w:eastAsiaTheme="minorEastAsia"/>
          <w:sz w:val="24"/>
          <w:szCs w:val="24"/>
        </w:rPr>
      </w:pPr>
      <w:r>
        <w:rPr>
          <w:rFonts w:hint="eastAsia" w:asciiTheme="minorEastAsia" w:hAnsiTheme="minorEastAsia" w:eastAsiaTheme="minorEastAsia"/>
          <w:kern w:val="0"/>
          <w:sz w:val="24"/>
          <w:szCs w:val="24"/>
        </w:rPr>
        <w:t>二〇二六年</w:t>
      </w:r>
      <w:r>
        <w:rPr>
          <w:rFonts w:hint="eastAsia" w:asciiTheme="minorEastAsia" w:hAnsiTheme="minorEastAsia" w:eastAsiaTheme="minorEastAsia"/>
          <w:kern w:val="0"/>
          <w:sz w:val="24"/>
          <w:szCs w:val="24"/>
          <w:lang w:val="en-US" w:eastAsia="zh-CN"/>
        </w:rPr>
        <w:t>六</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二十三</w:t>
      </w:r>
      <w:bookmarkStart w:id="0" w:name="_GoBack"/>
      <w:bookmarkEnd w:id="0"/>
      <w:r>
        <w:rPr>
          <w:rFonts w:hint="eastAsia" w:asciiTheme="minorEastAsia" w:hAnsiTheme="minorEastAsia" w:eastAsiaTheme="minorEastAsia"/>
          <w:kern w:val="0"/>
          <w:sz w:val="24"/>
          <w:szCs w:val="24"/>
        </w:rPr>
        <w:t>日</w:t>
      </w:r>
    </w:p>
    <w:sectPr>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9A438"/>
    <w:multiLevelType w:val="singleLevel"/>
    <w:tmpl w:val="3339A438"/>
    <w:lvl w:ilvl="0" w:tentative="0">
      <w:start w:val="1"/>
      <w:numFmt w:val="decimal"/>
      <w:suff w:val="nothing"/>
      <w:lvlText w:val="%1、"/>
      <w:lvlJc w:val="left"/>
    </w:lvl>
  </w:abstractNum>
  <w:abstractNum w:abstractNumId="1">
    <w:nsid w:val="75DFF118"/>
    <w:multiLevelType w:val="singleLevel"/>
    <w:tmpl w:val="75DFF11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6E6AFD"/>
    <w:rsid w:val="00011431"/>
    <w:rsid w:val="0005344A"/>
    <w:rsid w:val="00054CA8"/>
    <w:rsid w:val="000864CE"/>
    <w:rsid w:val="000D3ABD"/>
    <w:rsid w:val="000E0DC2"/>
    <w:rsid w:val="000E1211"/>
    <w:rsid w:val="000F31DF"/>
    <w:rsid w:val="0010598A"/>
    <w:rsid w:val="00110CA2"/>
    <w:rsid w:val="001263DD"/>
    <w:rsid w:val="00126B17"/>
    <w:rsid w:val="001454CC"/>
    <w:rsid w:val="00160828"/>
    <w:rsid w:val="00171561"/>
    <w:rsid w:val="001834CB"/>
    <w:rsid w:val="00184D4F"/>
    <w:rsid w:val="001916B2"/>
    <w:rsid w:val="001917EB"/>
    <w:rsid w:val="00195116"/>
    <w:rsid w:val="001E670F"/>
    <w:rsid w:val="001E7C24"/>
    <w:rsid w:val="00201033"/>
    <w:rsid w:val="0020339F"/>
    <w:rsid w:val="00287EF9"/>
    <w:rsid w:val="002A54EE"/>
    <w:rsid w:val="002D792A"/>
    <w:rsid w:val="00333043"/>
    <w:rsid w:val="00352817"/>
    <w:rsid w:val="00354540"/>
    <w:rsid w:val="003C7D52"/>
    <w:rsid w:val="003D6B08"/>
    <w:rsid w:val="003D76D1"/>
    <w:rsid w:val="003E3AAF"/>
    <w:rsid w:val="00407607"/>
    <w:rsid w:val="004311AF"/>
    <w:rsid w:val="004A3D6D"/>
    <w:rsid w:val="004D6190"/>
    <w:rsid w:val="004E7761"/>
    <w:rsid w:val="004F40B5"/>
    <w:rsid w:val="004F782E"/>
    <w:rsid w:val="00551063"/>
    <w:rsid w:val="00573F4A"/>
    <w:rsid w:val="0057640B"/>
    <w:rsid w:val="00583371"/>
    <w:rsid w:val="005A7547"/>
    <w:rsid w:val="005C6441"/>
    <w:rsid w:val="005E2C8B"/>
    <w:rsid w:val="00602F1F"/>
    <w:rsid w:val="0060371E"/>
    <w:rsid w:val="006079CD"/>
    <w:rsid w:val="006118F4"/>
    <w:rsid w:val="00617D60"/>
    <w:rsid w:val="00624B96"/>
    <w:rsid w:val="00630782"/>
    <w:rsid w:val="00657C02"/>
    <w:rsid w:val="00666BB4"/>
    <w:rsid w:val="00677B15"/>
    <w:rsid w:val="006822AB"/>
    <w:rsid w:val="00687BBD"/>
    <w:rsid w:val="006A1355"/>
    <w:rsid w:val="006A57D4"/>
    <w:rsid w:val="006B72A6"/>
    <w:rsid w:val="006B7F97"/>
    <w:rsid w:val="006D60ED"/>
    <w:rsid w:val="006D6ACA"/>
    <w:rsid w:val="006E6AFD"/>
    <w:rsid w:val="006F59DF"/>
    <w:rsid w:val="00704E4B"/>
    <w:rsid w:val="0070765B"/>
    <w:rsid w:val="007213AD"/>
    <w:rsid w:val="0072689F"/>
    <w:rsid w:val="00737F5E"/>
    <w:rsid w:val="007443CA"/>
    <w:rsid w:val="00790F83"/>
    <w:rsid w:val="007929B1"/>
    <w:rsid w:val="0079769C"/>
    <w:rsid w:val="007B0AB1"/>
    <w:rsid w:val="007C5053"/>
    <w:rsid w:val="00822E8C"/>
    <w:rsid w:val="00824DED"/>
    <w:rsid w:val="00832685"/>
    <w:rsid w:val="00833F5E"/>
    <w:rsid w:val="00841BE8"/>
    <w:rsid w:val="00847235"/>
    <w:rsid w:val="00862A46"/>
    <w:rsid w:val="00875EEF"/>
    <w:rsid w:val="008A20CE"/>
    <w:rsid w:val="008C20B1"/>
    <w:rsid w:val="008C3C6D"/>
    <w:rsid w:val="008D4E62"/>
    <w:rsid w:val="008F4FC7"/>
    <w:rsid w:val="00932963"/>
    <w:rsid w:val="00942336"/>
    <w:rsid w:val="0095138F"/>
    <w:rsid w:val="00956444"/>
    <w:rsid w:val="00974AE1"/>
    <w:rsid w:val="00984D7B"/>
    <w:rsid w:val="00985CBE"/>
    <w:rsid w:val="009960CD"/>
    <w:rsid w:val="009D0419"/>
    <w:rsid w:val="009D62D8"/>
    <w:rsid w:val="009D7EF8"/>
    <w:rsid w:val="009E3DB5"/>
    <w:rsid w:val="009F23F9"/>
    <w:rsid w:val="009F6B32"/>
    <w:rsid w:val="00A02886"/>
    <w:rsid w:val="00A22881"/>
    <w:rsid w:val="00A35185"/>
    <w:rsid w:val="00A43249"/>
    <w:rsid w:val="00A45FE7"/>
    <w:rsid w:val="00A83FCE"/>
    <w:rsid w:val="00AC3C01"/>
    <w:rsid w:val="00AC591E"/>
    <w:rsid w:val="00AC641F"/>
    <w:rsid w:val="00AD3557"/>
    <w:rsid w:val="00AF376D"/>
    <w:rsid w:val="00B00832"/>
    <w:rsid w:val="00B1650F"/>
    <w:rsid w:val="00B315E6"/>
    <w:rsid w:val="00B34194"/>
    <w:rsid w:val="00B40D14"/>
    <w:rsid w:val="00B4132A"/>
    <w:rsid w:val="00B66744"/>
    <w:rsid w:val="00B84B11"/>
    <w:rsid w:val="00BA6BC2"/>
    <w:rsid w:val="00BA7F76"/>
    <w:rsid w:val="00BB3F3F"/>
    <w:rsid w:val="00BC23FF"/>
    <w:rsid w:val="00BF13AE"/>
    <w:rsid w:val="00C428C4"/>
    <w:rsid w:val="00C719B8"/>
    <w:rsid w:val="00C75216"/>
    <w:rsid w:val="00C80118"/>
    <w:rsid w:val="00CC0EE5"/>
    <w:rsid w:val="00CE7808"/>
    <w:rsid w:val="00CF0030"/>
    <w:rsid w:val="00D12795"/>
    <w:rsid w:val="00D236FD"/>
    <w:rsid w:val="00D67256"/>
    <w:rsid w:val="00D70B6D"/>
    <w:rsid w:val="00D851B2"/>
    <w:rsid w:val="00D87C0C"/>
    <w:rsid w:val="00DA360D"/>
    <w:rsid w:val="00DF0348"/>
    <w:rsid w:val="00E330A1"/>
    <w:rsid w:val="00E37C18"/>
    <w:rsid w:val="00E430EC"/>
    <w:rsid w:val="00E85137"/>
    <w:rsid w:val="00EC027C"/>
    <w:rsid w:val="00F01039"/>
    <w:rsid w:val="00F02EDD"/>
    <w:rsid w:val="00F03CDE"/>
    <w:rsid w:val="00F05FA4"/>
    <w:rsid w:val="00F139D0"/>
    <w:rsid w:val="00F145C9"/>
    <w:rsid w:val="00F46F57"/>
    <w:rsid w:val="00F54AEF"/>
    <w:rsid w:val="00F70C8D"/>
    <w:rsid w:val="00F758CC"/>
    <w:rsid w:val="00F92383"/>
    <w:rsid w:val="00F96CE1"/>
    <w:rsid w:val="00FB6F06"/>
    <w:rsid w:val="00FC798E"/>
    <w:rsid w:val="00FF2085"/>
    <w:rsid w:val="00FF62C5"/>
    <w:rsid w:val="018207C5"/>
    <w:rsid w:val="024040CF"/>
    <w:rsid w:val="02F70D3E"/>
    <w:rsid w:val="035442A0"/>
    <w:rsid w:val="036D1C19"/>
    <w:rsid w:val="03834C74"/>
    <w:rsid w:val="06110369"/>
    <w:rsid w:val="06F41D15"/>
    <w:rsid w:val="06FD41F3"/>
    <w:rsid w:val="082D6D90"/>
    <w:rsid w:val="09B948EF"/>
    <w:rsid w:val="0F8E47D8"/>
    <w:rsid w:val="10053A08"/>
    <w:rsid w:val="11641C95"/>
    <w:rsid w:val="13AE5928"/>
    <w:rsid w:val="144E4B82"/>
    <w:rsid w:val="14781A33"/>
    <w:rsid w:val="151604DA"/>
    <w:rsid w:val="156118F0"/>
    <w:rsid w:val="157224A6"/>
    <w:rsid w:val="15CA0680"/>
    <w:rsid w:val="166149F5"/>
    <w:rsid w:val="181066D2"/>
    <w:rsid w:val="19EB5888"/>
    <w:rsid w:val="1FBE4C66"/>
    <w:rsid w:val="21B87382"/>
    <w:rsid w:val="25551537"/>
    <w:rsid w:val="27A92E21"/>
    <w:rsid w:val="2A111E36"/>
    <w:rsid w:val="2C024AAA"/>
    <w:rsid w:val="2DF4597A"/>
    <w:rsid w:val="2E88674F"/>
    <w:rsid w:val="2F065CE2"/>
    <w:rsid w:val="30AD0FA6"/>
    <w:rsid w:val="3102072B"/>
    <w:rsid w:val="34CE124C"/>
    <w:rsid w:val="3641301F"/>
    <w:rsid w:val="365077FE"/>
    <w:rsid w:val="37661A13"/>
    <w:rsid w:val="37ED7A3F"/>
    <w:rsid w:val="382B0567"/>
    <w:rsid w:val="3C723848"/>
    <w:rsid w:val="3D6562C9"/>
    <w:rsid w:val="3DED69EA"/>
    <w:rsid w:val="3E611186"/>
    <w:rsid w:val="3EAE357E"/>
    <w:rsid w:val="3F4D34B9"/>
    <w:rsid w:val="3F6E4F73"/>
    <w:rsid w:val="40DA6FCE"/>
    <w:rsid w:val="43A55671"/>
    <w:rsid w:val="46440826"/>
    <w:rsid w:val="47775577"/>
    <w:rsid w:val="4DEB404C"/>
    <w:rsid w:val="52585DEA"/>
    <w:rsid w:val="539B0721"/>
    <w:rsid w:val="53EB1FE5"/>
    <w:rsid w:val="54132940"/>
    <w:rsid w:val="550705FC"/>
    <w:rsid w:val="56222B52"/>
    <w:rsid w:val="56F3672F"/>
    <w:rsid w:val="570805AA"/>
    <w:rsid w:val="57A26DC1"/>
    <w:rsid w:val="57F5027A"/>
    <w:rsid w:val="581759DD"/>
    <w:rsid w:val="58311772"/>
    <w:rsid w:val="59CF49B1"/>
    <w:rsid w:val="59E52814"/>
    <w:rsid w:val="5AE57265"/>
    <w:rsid w:val="5C5541F6"/>
    <w:rsid w:val="5E4072BB"/>
    <w:rsid w:val="60096C2D"/>
    <w:rsid w:val="613D1187"/>
    <w:rsid w:val="631E72C5"/>
    <w:rsid w:val="633C2F83"/>
    <w:rsid w:val="65183A9D"/>
    <w:rsid w:val="654C3747"/>
    <w:rsid w:val="676362B6"/>
    <w:rsid w:val="694A1879"/>
    <w:rsid w:val="6A3D59BD"/>
    <w:rsid w:val="6A621EBC"/>
    <w:rsid w:val="6C1F237D"/>
    <w:rsid w:val="6E184D40"/>
    <w:rsid w:val="6E3A0F28"/>
    <w:rsid w:val="6F4109A4"/>
    <w:rsid w:val="70BD0F44"/>
    <w:rsid w:val="70D73037"/>
    <w:rsid w:val="710F044A"/>
    <w:rsid w:val="71970440"/>
    <w:rsid w:val="732C709B"/>
    <w:rsid w:val="73BD11A2"/>
    <w:rsid w:val="769D6B1F"/>
    <w:rsid w:val="78033FEB"/>
    <w:rsid w:val="7AFD680F"/>
    <w:rsid w:val="7B5D1DB2"/>
    <w:rsid w:val="7BB5211A"/>
    <w:rsid w:val="7BCB1412"/>
    <w:rsid w:val="7BFE17E7"/>
    <w:rsid w:val="7D032E2D"/>
    <w:rsid w:val="7E0F2B71"/>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autoRedefine/>
    <w:semiHidden/>
    <w:unhideWhenUsed/>
    <w:qFormat/>
    <w:uiPriority w:val="0"/>
    <w:pPr>
      <w:spacing w:line="600" w:lineRule="atLeast"/>
      <w:ind w:firstLine="560" w:firstLineChars="200"/>
    </w:pPr>
    <w:rPr>
      <w:rFonts w:ascii="Times New Roman" w:hAnsi="Times New Roman"/>
      <w:sz w:val="28"/>
      <w:szCs w:val="24"/>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unhideWhenUsed/>
    <w:qFormat/>
    <w:uiPriority w:val="99"/>
    <w:rPr>
      <w:color w:val="0000FF"/>
      <w:u w:val="single"/>
    </w:rPr>
  </w:style>
  <w:style w:type="character" w:customStyle="1" w:styleId="11">
    <w:name w:val="页眉 Char"/>
    <w:basedOn w:val="8"/>
    <w:link w:val="5"/>
    <w:qFormat/>
    <w:uiPriority w:val="99"/>
    <w:rPr>
      <w:rFonts w:ascii="Calibri" w:hAnsi="Calibri" w:eastAsia="宋体" w:cs="Times New Roman"/>
      <w:sz w:val="18"/>
      <w:szCs w:val="18"/>
    </w:rPr>
  </w:style>
  <w:style w:type="character" w:customStyle="1" w:styleId="12">
    <w:name w:val="页脚 Char"/>
    <w:basedOn w:val="8"/>
    <w:link w:val="4"/>
    <w:qFormat/>
    <w:uiPriority w:val="99"/>
    <w:rPr>
      <w:rFonts w:ascii="Calibri" w:hAnsi="Calibri" w:eastAsia="宋体" w:cs="Times New Roman"/>
      <w:sz w:val="18"/>
      <w:szCs w:val="18"/>
    </w:rPr>
  </w:style>
  <w:style w:type="character" w:customStyle="1" w:styleId="13">
    <w:name w:val="正文文本缩进 Char"/>
    <w:basedOn w:val="8"/>
    <w:link w:val="2"/>
    <w:semiHidden/>
    <w:qFormat/>
    <w:uiPriority w:val="0"/>
    <w:rPr>
      <w:rFonts w:ascii="Times New Roman" w:hAnsi="Times New Roman" w:eastAsia="宋体" w:cs="Times New Roman"/>
      <w:sz w:val="28"/>
      <w:szCs w:val="24"/>
    </w:rPr>
  </w:style>
  <w:style w:type="character" w:customStyle="1" w:styleId="14">
    <w:name w:val="批注框文本 Char"/>
    <w:basedOn w:val="8"/>
    <w:link w:val="3"/>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2133</Words>
  <Characters>2549</Characters>
  <Lines>6</Lines>
  <Paragraphs>1</Paragraphs>
  <TotalTime>6</TotalTime>
  <ScaleCrop>false</ScaleCrop>
  <LinksUpToDate>false</LinksUpToDate>
  <CharactersWithSpaces>2577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2022-03-19T06:48:00Z</dcterms:created>
  <dc:creator>杨溶</dc:creator>
  <cp:lastModifiedBy>WSY</cp:lastModifiedBy>
  <cp:lastPrinted>2018-07-04T07:08:00Z</cp:lastPrinted>
  <dcterms:modified xsi:type="dcterms:W3CDTF">2026-06-18T06:13:18Z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B7B4CE2FE08B430492A30C82B3786585</vt:lpwstr>
  </property>
  <property fmtid="{D5CDD505-2E9C-101B-9397-08002B2CF9AE}" pid="4" name="KSOTemplateDocerSaveRecord">
    <vt:lpwstr>eyJoZGlkIjoiYzAzYzc4OWY4MzI0OGU5NmNmYjc1OGMxNDQ2Zjg0YzciLCJ1c2VySWQiOiIyNjU0NTI1NDMifQ==</vt:lpwstr>
  </property>
</Properties>
</file>