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8B23E">
      <w:pPr>
        <w:spacing w:line="440" w:lineRule="exact"/>
        <w:jc w:val="center"/>
        <w:rPr>
          <w:rFonts w:hint="default" w:ascii="黑体" w:hAnsi="黑体" w:eastAsia="黑体"/>
          <w:bCs/>
          <w:kern w:val="0"/>
          <w:szCs w:val="21"/>
          <w:lang w:val="en-US" w:eastAsia="zh-CN"/>
        </w:rPr>
      </w:pPr>
      <w:r>
        <w:rPr>
          <w:rFonts w:ascii="黑体" w:hAnsi="黑体" w:eastAsia="黑体"/>
          <w:bCs/>
          <w:kern w:val="0"/>
          <w:szCs w:val="21"/>
        </w:rPr>
        <w:t xml:space="preserve">证券代码：002042    </w:t>
      </w:r>
      <w:r>
        <w:rPr>
          <w:rFonts w:hint="eastAsia" w:ascii="黑体" w:hAnsi="黑体" w:eastAsia="黑体"/>
          <w:bCs/>
          <w:kern w:val="0"/>
          <w:szCs w:val="21"/>
        </w:rPr>
        <w:t xml:space="preserve">        </w:t>
      </w:r>
      <w:r>
        <w:rPr>
          <w:rFonts w:ascii="黑体" w:hAnsi="黑体" w:eastAsia="黑体"/>
          <w:bCs/>
          <w:kern w:val="0"/>
          <w:szCs w:val="21"/>
        </w:rPr>
        <w:t xml:space="preserve">  证券简称：华孚时尚    </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 xml:space="preserve">   </w:t>
      </w:r>
      <w:r>
        <w:rPr>
          <w:rFonts w:ascii="黑体" w:hAnsi="黑体" w:eastAsia="黑体"/>
          <w:bCs/>
          <w:kern w:val="0"/>
          <w:szCs w:val="21"/>
        </w:rPr>
        <w:t>公告编号：</w:t>
      </w:r>
      <w:r>
        <w:rPr>
          <w:rFonts w:hint="eastAsia" w:ascii="黑体" w:hAnsi="黑体" w:eastAsia="黑体"/>
          <w:bCs/>
          <w:kern w:val="0"/>
          <w:szCs w:val="21"/>
        </w:rPr>
        <w:t>2026-</w:t>
      </w:r>
      <w:r>
        <w:rPr>
          <w:rFonts w:hint="eastAsia" w:ascii="黑体" w:hAnsi="黑体" w:eastAsia="黑体"/>
          <w:bCs/>
          <w:kern w:val="0"/>
          <w:szCs w:val="21"/>
          <w:lang w:val="en-US" w:eastAsia="zh-CN"/>
        </w:rPr>
        <w:t>28</w:t>
      </w:r>
    </w:p>
    <w:p w14:paraId="647C40DB">
      <w:pPr>
        <w:autoSpaceDE w:val="0"/>
        <w:autoSpaceDN w:val="0"/>
        <w:adjustRightInd w:val="0"/>
        <w:rPr>
          <w:rFonts w:asciiTheme="minorEastAsia" w:hAnsiTheme="minorEastAsia" w:eastAsiaTheme="minorEastAsia"/>
          <w:b/>
          <w:kern w:val="0"/>
          <w:sz w:val="36"/>
          <w:szCs w:val="36"/>
        </w:rPr>
      </w:pPr>
    </w:p>
    <w:p w14:paraId="3E4F2037">
      <w:pPr>
        <w:autoSpaceDE w:val="0"/>
        <w:autoSpaceDN w:val="0"/>
        <w:adjustRightInd w:val="0"/>
        <w:jc w:val="center"/>
        <w:rPr>
          <w:rFonts w:asciiTheme="minorEastAsia" w:hAnsiTheme="minorEastAsia" w:eastAsiaTheme="minorEastAsia"/>
          <w:b/>
          <w:kern w:val="0"/>
          <w:sz w:val="36"/>
          <w:szCs w:val="36"/>
        </w:rPr>
      </w:pPr>
      <w:r>
        <w:rPr>
          <w:rFonts w:asciiTheme="minorEastAsia" w:hAnsiTheme="minorEastAsia" w:eastAsiaTheme="minorEastAsia"/>
          <w:b/>
          <w:kern w:val="0"/>
          <w:sz w:val="36"/>
          <w:szCs w:val="36"/>
        </w:rPr>
        <w:t>华孚时尚股份有限公司</w:t>
      </w:r>
    </w:p>
    <w:p w14:paraId="41FA08A6">
      <w:pPr>
        <w:autoSpaceDE w:val="0"/>
        <w:autoSpaceDN w:val="0"/>
        <w:adjustRightInd w:val="0"/>
        <w:jc w:val="center"/>
        <w:rPr>
          <w:rFonts w:asciiTheme="minorEastAsia" w:hAnsiTheme="minorEastAsia" w:eastAsiaTheme="minorEastAsia"/>
          <w:b/>
          <w:kern w:val="0"/>
          <w:sz w:val="36"/>
          <w:szCs w:val="36"/>
        </w:rPr>
      </w:pPr>
      <w:r>
        <w:rPr>
          <w:rFonts w:hint="eastAsia" w:asciiTheme="minorEastAsia" w:hAnsiTheme="minorEastAsia" w:eastAsiaTheme="minorEastAsia"/>
          <w:b/>
          <w:kern w:val="0"/>
          <w:sz w:val="36"/>
          <w:szCs w:val="36"/>
        </w:rPr>
        <w:t>关于出售2023年期已回购股份</w:t>
      </w:r>
      <w:r>
        <w:rPr>
          <w:rFonts w:hint="eastAsia" w:asciiTheme="minorEastAsia" w:hAnsiTheme="minorEastAsia" w:eastAsiaTheme="minorEastAsia"/>
          <w:b/>
          <w:kern w:val="0"/>
          <w:sz w:val="36"/>
          <w:szCs w:val="36"/>
          <w:lang w:val="en-US" w:eastAsia="zh-CN"/>
        </w:rPr>
        <w:t>进展</w:t>
      </w:r>
      <w:r>
        <w:rPr>
          <w:rFonts w:hint="eastAsia" w:asciiTheme="minorEastAsia" w:hAnsiTheme="minorEastAsia" w:eastAsiaTheme="minorEastAsia"/>
          <w:b/>
          <w:kern w:val="0"/>
          <w:sz w:val="36"/>
          <w:szCs w:val="36"/>
        </w:rPr>
        <w:t>的公告</w:t>
      </w:r>
    </w:p>
    <w:p w14:paraId="0EC783D5">
      <w:pPr>
        <w:autoSpaceDE w:val="0"/>
        <w:autoSpaceDN w:val="0"/>
        <w:adjustRightInd w:val="0"/>
        <w:ind w:firstLine="480" w:firstLineChars="200"/>
        <w:jc w:val="left"/>
        <w:rPr>
          <w:rFonts w:ascii="Times New Roman" w:hAnsi="Times New Roman" w:eastAsia="楷体_GB2312"/>
          <w:kern w:val="0"/>
          <w:sz w:val="24"/>
          <w:szCs w:val="24"/>
        </w:rPr>
      </w:pPr>
    </w:p>
    <w:p w14:paraId="4F312072">
      <w:pPr>
        <w:autoSpaceDE w:val="0"/>
        <w:autoSpaceDN w:val="0"/>
        <w:adjustRightInd w:val="0"/>
        <w:ind w:firstLine="480" w:firstLineChars="200"/>
        <w:jc w:val="left"/>
        <w:rPr>
          <w:rFonts w:ascii="Times New Roman" w:hAnsi="Times New Roman" w:eastAsia="楷体_GB2312"/>
          <w:kern w:val="0"/>
          <w:sz w:val="24"/>
          <w:szCs w:val="24"/>
        </w:rPr>
      </w:pPr>
      <w:r>
        <w:rPr>
          <w:rFonts w:ascii="Times New Roman" w:hAnsi="Times New Roman" w:eastAsia="楷体_GB2312"/>
          <w:kern w:val="0"/>
          <w:sz w:val="24"/>
          <w:szCs w:val="24"/>
        </w:rPr>
        <w:t>本公司及</w:t>
      </w:r>
      <w:r>
        <w:rPr>
          <w:rFonts w:hint="eastAsia" w:ascii="Times New Roman" w:hAnsi="Times New Roman" w:eastAsia="楷体_GB2312"/>
          <w:kern w:val="0"/>
          <w:sz w:val="24"/>
          <w:szCs w:val="24"/>
        </w:rPr>
        <w:t>董</w:t>
      </w:r>
      <w:r>
        <w:rPr>
          <w:rFonts w:ascii="Times New Roman" w:hAnsi="Times New Roman" w:eastAsia="楷体_GB2312"/>
          <w:kern w:val="0"/>
          <w:sz w:val="24"/>
          <w:szCs w:val="24"/>
        </w:rPr>
        <w:t>事会全体成员保证信息披露的内容真实、准确、完整，没有虚假记载、误导性陈述或重大遗漏。</w:t>
      </w:r>
    </w:p>
    <w:p w14:paraId="358AB914">
      <w:pPr>
        <w:spacing w:line="280" w:lineRule="exact"/>
        <w:ind w:firstLine="39" w:firstLineChars="196"/>
        <w:rPr>
          <w:rFonts w:asciiTheme="minorEastAsia" w:hAnsiTheme="minorEastAsia" w:eastAsiaTheme="minorEastAsia"/>
          <w:kern w:val="0"/>
          <w:sz w:val="2"/>
          <w:szCs w:val="24"/>
        </w:rPr>
      </w:pPr>
    </w:p>
    <w:p w14:paraId="5EF9379F">
      <w:p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华孚时尚股份有限公司</w:t>
      </w:r>
      <w:r>
        <w:rPr>
          <w:rFonts w:asciiTheme="minorEastAsia" w:hAnsiTheme="minorEastAsia" w:eastAsiaTheme="minorEastAsia"/>
          <w:kern w:val="0"/>
          <w:sz w:val="24"/>
          <w:szCs w:val="24"/>
        </w:rPr>
        <w:t>（以下简称“公司”）于</w:t>
      </w:r>
      <w:r>
        <w:rPr>
          <w:rFonts w:hint="eastAsia" w:asciiTheme="minorEastAsia" w:hAnsiTheme="minorEastAsia" w:eastAsiaTheme="minorEastAsia"/>
          <w:kern w:val="0"/>
          <w:sz w:val="24"/>
          <w:szCs w:val="24"/>
        </w:rPr>
        <w:t>2026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2</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11</w:t>
      </w:r>
      <w:r>
        <w:rPr>
          <w:rFonts w:asciiTheme="minorEastAsia" w:hAnsiTheme="minorEastAsia" w:eastAsiaTheme="minorEastAsia"/>
          <w:kern w:val="0"/>
          <w:sz w:val="24"/>
          <w:szCs w:val="24"/>
        </w:rPr>
        <w:t>日召开</w:t>
      </w:r>
      <w:r>
        <w:rPr>
          <w:rFonts w:hint="eastAsia" w:asciiTheme="minorEastAsia" w:hAnsiTheme="minorEastAsia" w:eastAsiaTheme="minorEastAsia"/>
          <w:kern w:val="0"/>
          <w:sz w:val="24"/>
          <w:szCs w:val="24"/>
        </w:rPr>
        <w:t>第九届董事会2026年第一次临时会议</w:t>
      </w:r>
      <w:r>
        <w:rPr>
          <w:rFonts w:asciiTheme="minorEastAsia" w:hAnsiTheme="minorEastAsia" w:eastAsiaTheme="minorEastAsia"/>
          <w:kern w:val="0"/>
          <w:sz w:val="24"/>
          <w:szCs w:val="24"/>
        </w:rPr>
        <w:t>，审议通过了《</w:t>
      </w:r>
      <w:r>
        <w:rPr>
          <w:rFonts w:hint="eastAsia" w:asciiTheme="minorEastAsia" w:hAnsiTheme="minorEastAsia" w:eastAsiaTheme="minorEastAsia"/>
          <w:kern w:val="0"/>
          <w:sz w:val="24"/>
          <w:szCs w:val="24"/>
        </w:rPr>
        <w:t>关于以集中竞价交易方式出售2023年期已回购股份计划的议案</w:t>
      </w:r>
      <w:r>
        <w:rPr>
          <w:rFonts w:asciiTheme="minorEastAsia" w:hAnsiTheme="minorEastAsia" w:eastAsiaTheme="minorEastAsia"/>
          <w:kern w:val="0"/>
          <w:sz w:val="24"/>
          <w:szCs w:val="24"/>
        </w:rPr>
        <w:t>》，同意公司自公告披露之日起15个交易日后以集中竞价方式出售</w:t>
      </w:r>
      <w:r>
        <w:rPr>
          <w:rFonts w:hint="eastAsia" w:asciiTheme="minorEastAsia" w:hAnsiTheme="minorEastAsia" w:eastAsiaTheme="minorEastAsia"/>
          <w:kern w:val="0"/>
          <w:sz w:val="24"/>
          <w:szCs w:val="24"/>
        </w:rPr>
        <w:t>2023年期</w:t>
      </w:r>
      <w:r>
        <w:rPr>
          <w:rFonts w:asciiTheme="minorEastAsia" w:hAnsiTheme="minorEastAsia" w:eastAsiaTheme="minorEastAsia"/>
          <w:kern w:val="0"/>
          <w:sz w:val="24"/>
          <w:szCs w:val="24"/>
        </w:rPr>
        <w:t>已回购股份,</w:t>
      </w:r>
      <w:r>
        <w:rPr>
          <w:rFonts w:hint="eastAsia" w:asciiTheme="minorEastAsia" w:hAnsiTheme="minorEastAsia" w:eastAsiaTheme="minorEastAsia"/>
          <w:kern w:val="0"/>
          <w:sz w:val="24"/>
          <w:szCs w:val="24"/>
        </w:rPr>
        <w:t>实施期限为</w:t>
      </w:r>
      <w:r>
        <w:rPr>
          <w:rFonts w:asciiTheme="minorEastAsia" w:hAnsiTheme="minorEastAsia" w:eastAsiaTheme="minorEastAsia"/>
          <w:kern w:val="0"/>
          <w:sz w:val="24"/>
          <w:szCs w:val="24"/>
        </w:rPr>
        <w:t>202</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3</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16</w:t>
      </w:r>
      <w:r>
        <w:rPr>
          <w:rFonts w:asciiTheme="minorEastAsia" w:hAnsiTheme="minorEastAsia" w:eastAsiaTheme="minorEastAsia"/>
          <w:kern w:val="0"/>
          <w:sz w:val="24"/>
          <w:szCs w:val="24"/>
        </w:rPr>
        <w:t>日至202</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19</w:t>
      </w:r>
      <w:r>
        <w:rPr>
          <w:rFonts w:asciiTheme="minorEastAsia" w:hAnsiTheme="minorEastAsia" w:eastAsiaTheme="minorEastAsia"/>
          <w:kern w:val="0"/>
          <w:sz w:val="24"/>
          <w:szCs w:val="24"/>
        </w:rPr>
        <w:t>日</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拟出售回购股份不超过31,275,31</w:t>
      </w:r>
      <w:r>
        <w:rPr>
          <w:rFonts w:hint="eastAsia" w:asciiTheme="minorEastAsia" w:hAnsiTheme="minorEastAsia" w:eastAsiaTheme="minorEastAsia"/>
          <w:kern w:val="0"/>
          <w:sz w:val="24"/>
          <w:szCs w:val="24"/>
        </w:rPr>
        <w:t>4</w:t>
      </w:r>
      <w:r>
        <w:rPr>
          <w:rFonts w:asciiTheme="minorEastAsia" w:hAnsiTheme="minorEastAsia" w:eastAsiaTheme="minorEastAsia"/>
          <w:kern w:val="0"/>
          <w:sz w:val="24"/>
          <w:szCs w:val="24"/>
        </w:rPr>
        <w:t>股（即占公司当前总股本的1.</w:t>
      </w:r>
      <w:r>
        <w:rPr>
          <w:rFonts w:hint="eastAsia" w:asciiTheme="minorEastAsia" w:hAnsiTheme="minorEastAsia" w:eastAsiaTheme="minorEastAsia"/>
          <w:kern w:val="0"/>
          <w:sz w:val="24"/>
          <w:szCs w:val="24"/>
        </w:rPr>
        <w:t>84</w:t>
      </w:r>
      <w:r>
        <w:rPr>
          <w:rFonts w:asciiTheme="minorEastAsia" w:hAnsiTheme="minorEastAsia" w:eastAsiaTheme="minorEastAsia"/>
          <w:kern w:val="0"/>
          <w:sz w:val="24"/>
          <w:szCs w:val="24"/>
        </w:rPr>
        <w:t>%），出售价格根据二级市场价格确定。</w:t>
      </w:r>
      <w:r>
        <w:rPr>
          <w:rFonts w:hint="eastAsia" w:asciiTheme="minorEastAsia" w:hAnsiTheme="minorEastAsia" w:eastAsiaTheme="minorEastAsia"/>
          <w:kern w:val="0"/>
          <w:sz w:val="24"/>
          <w:szCs w:val="24"/>
        </w:rPr>
        <w:t>详见公司于2026年2月12日于</w:t>
      </w:r>
      <w:r>
        <w:rPr>
          <w:rFonts w:asciiTheme="minorEastAsia" w:hAnsiTheme="minorEastAsia" w:eastAsiaTheme="minorEastAsia"/>
          <w:kern w:val="0"/>
          <w:sz w:val="24"/>
          <w:szCs w:val="24"/>
        </w:rPr>
        <w:t>《中国证券报》、《证券时报》及巨潮资讯网（www.cninfo.com.cn）</w:t>
      </w:r>
      <w:r>
        <w:rPr>
          <w:rFonts w:hint="eastAsia" w:asciiTheme="minorEastAsia" w:hAnsiTheme="minorEastAsia" w:eastAsiaTheme="minorEastAsia"/>
          <w:kern w:val="0"/>
          <w:sz w:val="24"/>
          <w:szCs w:val="24"/>
        </w:rPr>
        <w:t>披露的《关于以集中竞价交易方式出售2023年期已回购股份计划的公告》（2026-03）。</w:t>
      </w:r>
    </w:p>
    <w:p w14:paraId="47432CD5">
      <w:pPr>
        <w:autoSpaceDE w:val="0"/>
        <w:autoSpaceDN w:val="0"/>
        <w:adjustRightInd w:val="0"/>
        <w:spacing w:line="360" w:lineRule="auto"/>
        <w:ind w:firstLine="480" w:firstLineChars="200"/>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根据</w:t>
      </w:r>
      <w:r>
        <w:rPr>
          <w:rFonts w:asciiTheme="minorEastAsia" w:hAnsiTheme="minorEastAsia" w:eastAsiaTheme="minorEastAsia"/>
          <w:kern w:val="0"/>
          <w:sz w:val="24"/>
          <w:szCs w:val="24"/>
        </w:rPr>
        <w:t>《深圳证券交易所上市公司自律监管指引第9号——回购股份》等相关规定</w:t>
      </w:r>
      <w:r>
        <w:rPr>
          <w:rFonts w:hint="eastAsia" w:asciiTheme="minorEastAsia" w:hAnsiTheme="minorEastAsia" w:eastAsiaTheme="minorEastAsia"/>
          <w:kern w:val="0"/>
          <w:sz w:val="24"/>
          <w:szCs w:val="24"/>
        </w:rPr>
        <w:t>，公司应当在</w:t>
      </w:r>
      <w:r>
        <w:rPr>
          <w:rFonts w:asciiTheme="minorEastAsia" w:hAnsiTheme="minorEastAsia" w:eastAsiaTheme="minorEastAsia"/>
          <w:kern w:val="0"/>
          <w:sz w:val="24"/>
          <w:szCs w:val="24"/>
        </w:rPr>
        <w:t>每个月的前三个交易日内披露截至上月末的出售进展情况</w:t>
      </w:r>
      <w:r>
        <w:rPr>
          <w:rFonts w:hint="eastAsia" w:asciiTheme="minorEastAsia" w:hAnsiTheme="minorEastAsia" w:eastAsiaTheme="minorEastAsia"/>
          <w:kern w:val="0"/>
          <w:sz w:val="24"/>
          <w:szCs w:val="24"/>
        </w:rPr>
        <w:t>。现将有关情况公告如下。</w:t>
      </w:r>
    </w:p>
    <w:p w14:paraId="506A3298">
      <w:pPr>
        <w:numPr>
          <w:ilvl w:val="0"/>
          <w:numId w:val="1"/>
        </w:numPr>
        <w:autoSpaceDE w:val="0"/>
        <w:autoSpaceDN w:val="0"/>
        <w:adjustRightInd w:val="0"/>
        <w:spacing w:line="360" w:lineRule="auto"/>
        <w:ind w:firstLine="482" w:firstLineChars="200"/>
        <w:rPr>
          <w:rFonts w:hint="eastAsia"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lang w:val="en-US" w:eastAsia="zh-CN"/>
        </w:rPr>
        <w:t>2023年期回购股份的基本情况</w:t>
      </w:r>
    </w:p>
    <w:p w14:paraId="5A053829">
      <w:pPr>
        <w:autoSpaceDE w:val="0"/>
        <w:autoSpaceDN w:val="0"/>
        <w:adjustRightInd w:val="0"/>
        <w:spacing w:line="360" w:lineRule="auto"/>
        <w:ind w:firstLine="480" w:firstLineChars="200"/>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lang w:val="en-US" w:eastAsia="zh-CN"/>
        </w:rPr>
        <w:t>公司</w:t>
      </w:r>
      <w:r>
        <w:rPr>
          <w:rFonts w:hint="eastAsia" w:asciiTheme="minorEastAsia" w:hAnsiTheme="minorEastAsia" w:eastAsiaTheme="minorEastAsia"/>
          <w:kern w:val="0"/>
          <w:sz w:val="24"/>
          <w:szCs w:val="24"/>
        </w:rPr>
        <w:t>于2023年3月17日召开第八届董事会2023年第一次临时会议，审议通过了《关于2023年回购公司股份方案的议案》，公司拟使用自有资金以集中竞价交易方式回购已发行的人民币普通股（A股）股份，回购股份用于维护公司价值及股东权益，后续将按相关规定予以出售。回购总金额为不低于人民币10,000万元,不超过人民币20,000万元，回购价格不超过4.60元/股，回购股份的实施期限为自董事会审议通过本次回购股份方案之日起不超过三个月。详见公司于2023年3月18日刊登在《中国证券报》、《证券时报》及巨潮资讯网（www.cninfo.com.cn）上的《关于2023年回购公司股份方案的公告》（2023-07）。</w:t>
      </w:r>
    </w:p>
    <w:p w14:paraId="25A54D09">
      <w:pPr>
        <w:autoSpaceDE w:val="0"/>
        <w:autoSpaceDN w:val="0"/>
        <w:adjustRightInd w:val="0"/>
        <w:spacing w:line="360" w:lineRule="auto"/>
        <w:ind w:firstLine="480" w:firstLineChars="200"/>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截至2023年6月16日，公司本次股份回购已完成。在回购期间，公司通过股份回购专用证券账户以集中竞价交易方式累计回购公司股票31,275,314股，占公司总股本的1.84%（以公司截止2023年6月16日总股本1,700,681,355股为基准），实际回购期间为2023年3月20日至2023年6月16日，其中最高成交价为3.28元/股，最低成交价为3.12元/股，</w:t>
      </w:r>
      <w:r>
        <w:rPr>
          <w:rFonts w:hint="eastAsia" w:asciiTheme="minorEastAsia" w:hAnsiTheme="minorEastAsia" w:eastAsiaTheme="minorEastAsia"/>
          <w:kern w:val="0"/>
          <w:sz w:val="24"/>
          <w:szCs w:val="24"/>
          <w:highlight w:val="none"/>
          <w:lang w:val="en-US" w:eastAsia="zh-CN"/>
        </w:rPr>
        <w:t>回购均价为3.20元/股，</w:t>
      </w:r>
      <w:r>
        <w:rPr>
          <w:rFonts w:hint="eastAsia" w:asciiTheme="minorEastAsia" w:hAnsiTheme="minorEastAsia" w:eastAsiaTheme="minorEastAsia"/>
          <w:kern w:val="0"/>
          <w:sz w:val="24"/>
          <w:szCs w:val="24"/>
        </w:rPr>
        <w:t>成交总金额为人民</w:t>
      </w:r>
      <w:r>
        <w:rPr>
          <w:rFonts w:hint="eastAsia" w:asciiTheme="minorEastAsia" w:hAnsiTheme="minorEastAsia" w:eastAsiaTheme="minorEastAsia"/>
          <w:kern w:val="0"/>
          <w:sz w:val="24"/>
          <w:szCs w:val="24"/>
          <w:lang w:val="en-US" w:eastAsia="zh-CN"/>
        </w:rPr>
        <w:t>币</w:t>
      </w:r>
      <w:r>
        <w:rPr>
          <w:rFonts w:hint="eastAsia" w:asciiTheme="minorEastAsia" w:hAnsiTheme="minorEastAsia" w:eastAsiaTheme="minorEastAsia"/>
          <w:kern w:val="0"/>
          <w:sz w:val="24"/>
          <w:szCs w:val="24"/>
        </w:rPr>
        <w:t>100,128,238.70元（不含交易费用）。</w:t>
      </w:r>
      <w:r>
        <w:rPr>
          <w:rFonts w:hint="eastAsia" w:asciiTheme="minorEastAsia" w:hAnsiTheme="minorEastAsia" w:eastAsiaTheme="minorEastAsia"/>
          <w:kern w:val="0"/>
          <w:sz w:val="24"/>
          <w:szCs w:val="24"/>
          <w:lang w:val="en-US" w:eastAsia="zh-CN"/>
        </w:rPr>
        <w:t>详见公司</w:t>
      </w:r>
      <w:r>
        <w:rPr>
          <w:rFonts w:hint="eastAsia" w:asciiTheme="minorEastAsia" w:hAnsiTheme="minorEastAsia" w:eastAsiaTheme="minorEastAsia"/>
          <w:kern w:val="0"/>
          <w:sz w:val="24"/>
          <w:szCs w:val="24"/>
        </w:rPr>
        <w:t>于2023年</w:t>
      </w:r>
      <w:r>
        <w:rPr>
          <w:rFonts w:hint="eastAsia" w:asciiTheme="minorEastAsia" w:hAnsiTheme="minorEastAsia" w:eastAsiaTheme="minorEastAsia"/>
          <w:kern w:val="0"/>
          <w:sz w:val="24"/>
          <w:szCs w:val="24"/>
          <w:lang w:val="en-US" w:eastAsia="zh-CN"/>
        </w:rPr>
        <w:t>6</w:t>
      </w:r>
      <w:r>
        <w:rPr>
          <w:rFonts w:hint="eastAsia" w:asciiTheme="minorEastAsia" w:hAnsiTheme="minorEastAsia" w:eastAsiaTheme="minorEastAsia"/>
          <w:kern w:val="0"/>
          <w:sz w:val="24"/>
          <w:szCs w:val="24"/>
        </w:rPr>
        <w:t>月</w:t>
      </w:r>
      <w:r>
        <w:rPr>
          <w:rFonts w:hint="eastAsia" w:asciiTheme="minorEastAsia" w:hAnsiTheme="minorEastAsia" w:eastAsiaTheme="minorEastAsia"/>
          <w:kern w:val="0"/>
          <w:sz w:val="24"/>
          <w:szCs w:val="24"/>
          <w:lang w:val="en-US" w:eastAsia="zh-CN"/>
        </w:rPr>
        <w:t>20</w:t>
      </w:r>
      <w:r>
        <w:rPr>
          <w:rFonts w:hint="eastAsia" w:asciiTheme="minorEastAsia" w:hAnsiTheme="minorEastAsia" w:eastAsiaTheme="minorEastAsia"/>
          <w:kern w:val="0"/>
          <w:sz w:val="24"/>
          <w:szCs w:val="24"/>
        </w:rPr>
        <w:t>日刊登在《中国证券报》、《证券时报》及巨潮资讯网（www.cninfo.com.cn）上的《关于2023年回购公司股份方案实施完毕暨股份变动的公告》（2023-</w:t>
      </w:r>
      <w:r>
        <w:rPr>
          <w:rFonts w:hint="eastAsia" w:asciiTheme="minorEastAsia" w:hAnsiTheme="minorEastAsia" w:eastAsiaTheme="minorEastAsia"/>
          <w:kern w:val="0"/>
          <w:sz w:val="24"/>
          <w:szCs w:val="24"/>
          <w:lang w:val="en-US" w:eastAsia="zh-CN"/>
        </w:rPr>
        <w:t>34</w:t>
      </w:r>
      <w:r>
        <w:rPr>
          <w:rFonts w:hint="eastAsia" w:asciiTheme="minorEastAsia" w:hAnsiTheme="minorEastAsia" w:eastAsiaTheme="minorEastAsia"/>
          <w:kern w:val="0"/>
          <w:sz w:val="24"/>
          <w:szCs w:val="24"/>
        </w:rPr>
        <w:t>）。</w:t>
      </w:r>
    </w:p>
    <w:p w14:paraId="0CC21999">
      <w:pPr>
        <w:numPr>
          <w:ilvl w:val="0"/>
          <w:numId w:val="1"/>
        </w:numPr>
        <w:autoSpaceDE w:val="0"/>
        <w:autoSpaceDN w:val="0"/>
        <w:adjustRightInd w:val="0"/>
        <w:spacing w:line="360" w:lineRule="auto"/>
        <w:ind w:firstLine="482" w:firstLineChars="200"/>
        <w:rPr>
          <w:rFonts w:hint="eastAsia"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本次集中竞价出售2023年期已回购股份计划的进展情况</w:t>
      </w:r>
    </w:p>
    <w:p w14:paraId="6D5DF30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截至2026年5月31日，公司共通过集中竞价交易方式累计出售了17,006,800股，占公司总股本比例为1%，</w:t>
      </w:r>
      <w:r>
        <w:rPr>
          <w:rFonts w:hint="eastAsia" w:asciiTheme="minorEastAsia" w:hAnsiTheme="minorEastAsia" w:eastAsiaTheme="minorEastAsia"/>
          <w:kern w:val="0"/>
          <w:sz w:val="24"/>
          <w:szCs w:val="24"/>
        </w:rPr>
        <w:t>出售所得资金总额为</w:t>
      </w:r>
      <w:r>
        <w:rPr>
          <w:rFonts w:hint="eastAsia" w:asciiTheme="minorEastAsia" w:hAnsiTheme="minorEastAsia" w:eastAsiaTheme="minorEastAsia"/>
          <w:kern w:val="0"/>
          <w:sz w:val="24"/>
          <w:szCs w:val="24"/>
          <w:lang w:val="en-US" w:eastAsia="zh-CN"/>
        </w:rPr>
        <w:t>77,008,076</w:t>
      </w:r>
      <w:r>
        <w:rPr>
          <w:rFonts w:hint="eastAsia" w:asciiTheme="minorEastAsia" w:hAnsiTheme="minorEastAsia" w:eastAsiaTheme="minorEastAsia"/>
          <w:kern w:val="0"/>
          <w:sz w:val="24"/>
          <w:szCs w:val="24"/>
        </w:rPr>
        <w:t>元（不含交易费用），成交最高价为</w:t>
      </w:r>
      <w:r>
        <w:rPr>
          <w:rFonts w:hint="eastAsia" w:asciiTheme="minorEastAsia" w:hAnsiTheme="minorEastAsia" w:eastAsiaTheme="minorEastAsia"/>
          <w:kern w:val="0"/>
          <w:sz w:val="24"/>
          <w:szCs w:val="24"/>
          <w:lang w:val="en-US" w:eastAsia="zh-CN"/>
        </w:rPr>
        <w:t>4.63</w:t>
      </w:r>
      <w:r>
        <w:rPr>
          <w:rFonts w:hint="eastAsia" w:asciiTheme="minorEastAsia" w:hAnsiTheme="minorEastAsia" w:eastAsiaTheme="minorEastAsia"/>
          <w:kern w:val="0"/>
          <w:sz w:val="24"/>
          <w:szCs w:val="24"/>
        </w:rPr>
        <w:t>元/股，成交最低价为</w:t>
      </w:r>
      <w:r>
        <w:rPr>
          <w:rFonts w:hint="eastAsia" w:asciiTheme="minorEastAsia" w:hAnsiTheme="minorEastAsia" w:eastAsiaTheme="minorEastAsia"/>
          <w:kern w:val="0"/>
          <w:sz w:val="24"/>
          <w:szCs w:val="24"/>
          <w:lang w:val="en-US" w:eastAsia="zh-CN"/>
        </w:rPr>
        <w:t>4.45</w:t>
      </w:r>
      <w:r>
        <w:rPr>
          <w:rFonts w:hint="eastAsia" w:asciiTheme="minorEastAsia" w:hAnsiTheme="minorEastAsia" w:eastAsiaTheme="minorEastAsia"/>
          <w:kern w:val="0"/>
          <w:sz w:val="24"/>
          <w:szCs w:val="24"/>
        </w:rPr>
        <w:t>元/股，成交均价为</w:t>
      </w:r>
      <w:r>
        <w:rPr>
          <w:rFonts w:hint="eastAsia" w:asciiTheme="minorEastAsia" w:hAnsiTheme="minorEastAsia" w:eastAsiaTheme="minorEastAsia"/>
          <w:kern w:val="0"/>
          <w:sz w:val="24"/>
          <w:szCs w:val="24"/>
          <w:lang w:val="en-US" w:eastAsia="zh-CN"/>
        </w:rPr>
        <w:t>4.53</w:t>
      </w:r>
      <w:r>
        <w:rPr>
          <w:rFonts w:hint="eastAsia" w:asciiTheme="minorEastAsia" w:hAnsiTheme="minorEastAsia" w:eastAsiaTheme="minorEastAsia"/>
          <w:kern w:val="0"/>
          <w:sz w:val="24"/>
          <w:szCs w:val="24"/>
        </w:rPr>
        <w:t>元/股</w:t>
      </w:r>
      <w:r>
        <w:rPr>
          <w:rFonts w:hint="eastAsia" w:asciiTheme="minorEastAsia" w:hAnsiTheme="minorEastAsia" w:eastAsiaTheme="minorEastAsia"/>
          <w:kern w:val="0"/>
          <w:sz w:val="24"/>
          <w:szCs w:val="24"/>
          <w:lang w:eastAsia="zh-CN"/>
        </w:rPr>
        <w:t>。</w:t>
      </w:r>
    </w:p>
    <w:p w14:paraId="026AB8F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b/>
          <w:bCs/>
          <w:kern w:val="0"/>
          <w:sz w:val="24"/>
          <w:szCs w:val="24"/>
        </w:rPr>
      </w:pPr>
      <w:r>
        <w:rPr>
          <w:rFonts w:hint="eastAsia" w:asciiTheme="minorEastAsia" w:hAnsiTheme="minorEastAsia" w:eastAsiaTheme="minorEastAsia"/>
          <w:kern w:val="0"/>
          <w:sz w:val="24"/>
          <w:szCs w:val="24"/>
        </w:rPr>
        <w:t>本次出售符合公司既定的计划，符合《深圳证券交易所上市公司自律监管指引第9号——回购股份》等相关规定。</w:t>
      </w:r>
    </w:p>
    <w:p w14:paraId="7971899D">
      <w:pPr>
        <w:numPr>
          <w:ilvl w:val="0"/>
          <w:numId w:val="1"/>
        </w:numPr>
        <w:autoSpaceDE w:val="0"/>
        <w:autoSpaceDN w:val="0"/>
        <w:adjustRightInd w:val="0"/>
        <w:spacing w:line="360" w:lineRule="auto"/>
        <w:ind w:firstLine="482" w:firstLineChars="200"/>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相关风险提示</w:t>
      </w:r>
    </w:p>
    <w:p w14:paraId="0C735F03">
      <w:pPr>
        <w:numPr>
          <w:ilvl w:val="0"/>
          <w:numId w:val="2"/>
        </w:num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本次出售公司已回购股份计划实施存在不确定风险，公司将根据市场情况、公司股价</w:t>
      </w:r>
      <w:r>
        <w:rPr>
          <w:rFonts w:hint="eastAsia" w:asciiTheme="minorEastAsia" w:hAnsiTheme="minorEastAsia" w:eastAsiaTheme="minorEastAsia"/>
          <w:kern w:val="0"/>
          <w:sz w:val="24"/>
          <w:szCs w:val="24"/>
        </w:rPr>
        <w:t>波动</w:t>
      </w:r>
      <w:r>
        <w:rPr>
          <w:rFonts w:asciiTheme="minorEastAsia" w:hAnsiTheme="minorEastAsia" w:eastAsiaTheme="minorEastAsia"/>
          <w:kern w:val="0"/>
          <w:sz w:val="24"/>
          <w:szCs w:val="24"/>
        </w:rPr>
        <w:t>等情形决定实施对应股份出售计划，</w:t>
      </w:r>
      <w:r>
        <w:rPr>
          <w:rFonts w:hint="eastAsia" w:asciiTheme="minorEastAsia" w:hAnsiTheme="minorEastAsia" w:eastAsiaTheme="minorEastAsia"/>
          <w:kern w:val="0"/>
          <w:sz w:val="24"/>
          <w:szCs w:val="24"/>
        </w:rPr>
        <w:t>本次回购出售计划</w:t>
      </w:r>
      <w:r>
        <w:rPr>
          <w:rFonts w:asciiTheme="minorEastAsia" w:hAnsiTheme="minorEastAsia" w:eastAsiaTheme="minorEastAsia"/>
          <w:kern w:val="0"/>
          <w:sz w:val="24"/>
          <w:szCs w:val="24"/>
        </w:rPr>
        <w:t>存在出售时间、数量、价格的不确定性</w:t>
      </w:r>
      <w:r>
        <w:rPr>
          <w:rFonts w:hint="eastAsia" w:asciiTheme="minorEastAsia" w:hAnsiTheme="minorEastAsia" w:eastAsiaTheme="minorEastAsia"/>
          <w:kern w:val="0"/>
          <w:sz w:val="24"/>
          <w:szCs w:val="24"/>
        </w:rPr>
        <w:t>，可能存在无法按计划完成出售的情形</w:t>
      </w:r>
      <w:r>
        <w:rPr>
          <w:rFonts w:asciiTheme="minorEastAsia" w:hAnsiTheme="minorEastAsia" w:eastAsiaTheme="minorEastAsia"/>
          <w:kern w:val="0"/>
          <w:sz w:val="24"/>
          <w:szCs w:val="24"/>
        </w:rPr>
        <w:t>。</w:t>
      </w:r>
    </w:p>
    <w:p w14:paraId="2D14E16B">
      <w:pPr>
        <w:numPr>
          <w:ilvl w:val="0"/>
          <w:numId w:val="2"/>
        </w:num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本次拟出售部分已回购股份事项符合《深圳证券交易所上市公司自律监管指引第9号——回购股份》等相关规定。在上述出售期间内，公司将严格按照</w:t>
      </w:r>
      <w:bookmarkStart w:id="0" w:name="_GoBack"/>
      <w:bookmarkEnd w:id="0"/>
      <w:r>
        <w:rPr>
          <w:rFonts w:asciiTheme="minorEastAsia" w:hAnsiTheme="minorEastAsia" w:eastAsiaTheme="minorEastAsia"/>
          <w:kern w:val="0"/>
          <w:sz w:val="24"/>
          <w:szCs w:val="24"/>
        </w:rPr>
        <w:t>有关法律、行政法规、部门规章及规范性文件等相关规定，及时履行信息披露义务。敬请广大投资者谨慎投资，注意投资风险</w:t>
      </w:r>
      <w:r>
        <w:rPr>
          <w:rFonts w:hint="eastAsia" w:asciiTheme="minorEastAsia" w:hAnsiTheme="minorEastAsia" w:eastAsiaTheme="minorEastAsia"/>
          <w:kern w:val="0"/>
          <w:sz w:val="24"/>
          <w:szCs w:val="24"/>
        </w:rPr>
        <w:t>。</w:t>
      </w:r>
    </w:p>
    <w:p w14:paraId="27A786EE">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特此</w:t>
      </w:r>
      <w:r>
        <w:rPr>
          <w:rFonts w:hint="eastAsia" w:asciiTheme="minorEastAsia" w:hAnsiTheme="minorEastAsia" w:eastAsiaTheme="minorEastAsia"/>
          <w:kern w:val="0"/>
          <w:sz w:val="24"/>
          <w:szCs w:val="24"/>
        </w:rPr>
        <w:t>公告</w:t>
      </w:r>
      <w:r>
        <w:rPr>
          <w:rFonts w:asciiTheme="minorEastAsia" w:hAnsiTheme="minorEastAsia" w:eastAsiaTheme="minorEastAsia"/>
          <w:kern w:val="0"/>
          <w:sz w:val="24"/>
          <w:szCs w:val="24"/>
        </w:rPr>
        <w:t>。</w:t>
      </w:r>
    </w:p>
    <w:p w14:paraId="7B92D485">
      <w:pPr>
        <w:autoSpaceDE w:val="0"/>
        <w:autoSpaceDN w:val="0"/>
        <w:adjustRightInd w:val="0"/>
        <w:spacing w:line="480" w:lineRule="exact"/>
        <w:jc w:val="right"/>
        <w:rPr>
          <w:rFonts w:asciiTheme="minorEastAsia" w:hAnsiTheme="minorEastAsia" w:eastAsiaTheme="minorEastAsia"/>
          <w:kern w:val="0"/>
          <w:sz w:val="24"/>
          <w:szCs w:val="24"/>
        </w:rPr>
      </w:pPr>
      <w:r>
        <w:rPr>
          <w:rFonts w:asciiTheme="minorEastAsia" w:hAnsiTheme="minorEastAsia" w:eastAsiaTheme="minorEastAsia"/>
          <w:kern w:val="0"/>
          <w:sz w:val="24"/>
          <w:szCs w:val="24"/>
        </w:rPr>
        <w:t>华孚时尚股份有限公司</w:t>
      </w:r>
      <w:r>
        <w:rPr>
          <w:rFonts w:hint="eastAsia" w:asciiTheme="minorEastAsia" w:hAnsiTheme="minorEastAsia" w:eastAsiaTheme="minorEastAsia"/>
          <w:kern w:val="0"/>
          <w:sz w:val="24"/>
          <w:szCs w:val="24"/>
        </w:rPr>
        <w:t>董</w:t>
      </w:r>
      <w:r>
        <w:rPr>
          <w:rFonts w:asciiTheme="minorEastAsia" w:hAnsiTheme="minorEastAsia" w:eastAsiaTheme="minorEastAsia"/>
          <w:kern w:val="0"/>
          <w:sz w:val="24"/>
          <w:szCs w:val="24"/>
        </w:rPr>
        <w:t>事会</w:t>
      </w:r>
    </w:p>
    <w:p w14:paraId="5CDB498B">
      <w:pPr>
        <w:autoSpaceDE w:val="0"/>
        <w:autoSpaceDN w:val="0"/>
        <w:adjustRightInd w:val="0"/>
        <w:spacing w:line="480" w:lineRule="exact"/>
        <w:jc w:val="right"/>
        <w:rPr>
          <w:rFonts w:asciiTheme="minorEastAsia" w:hAnsiTheme="minorEastAsia" w:eastAsiaTheme="minorEastAsia"/>
          <w:sz w:val="24"/>
          <w:szCs w:val="24"/>
        </w:rPr>
      </w:pPr>
      <w:r>
        <w:rPr>
          <w:rFonts w:hint="eastAsia" w:asciiTheme="minorEastAsia" w:hAnsiTheme="minorEastAsia" w:eastAsiaTheme="minorEastAsia"/>
          <w:kern w:val="0"/>
          <w:sz w:val="24"/>
          <w:szCs w:val="24"/>
        </w:rPr>
        <w:t>二〇二六年</w:t>
      </w:r>
      <w:r>
        <w:rPr>
          <w:rFonts w:hint="eastAsia" w:asciiTheme="minorEastAsia" w:hAnsiTheme="minorEastAsia" w:eastAsiaTheme="minorEastAsia"/>
          <w:kern w:val="0"/>
          <w:sz w:val="24"/>
          <w:szCs w:val="24"/>
          <w:lang w:val="en-US" w:eastAsia="zh-CN"/>
        </w:rPr>
        <w:t>六</w:t>
      </w:r>
      <w:r>
        <w:rPr>
          <w:rFonts w:hint="eastAsia" w:asciiTheme="minorEastAsia" w:hAnsiTheme="minorEastAsia" w:eastAsiaTheme="minorEastAsia"/>
          <w:kern w:val="0"/>
          <w:sz w:val="24"/>
          <w:szCs w:val="24"/>
        </w:rPr>
        <w:t>月</w:t>
      </w:r>
      <w:r>
        <w:rPr>
          <w:rFonts w:hint="eastAsia" w:asciiTheme="minorEastAsia" w:hAnsiTheme="minorEastAsia" w:eastAsiaTheme="minorEastAsia"/>
          <w:kern w:val="0"/>
          <w:sz w:val="24"/>
          <w:szCs w:val="24"/>
          <w:lang w:val="en-US" w:eastAsia="zh-CN"/>
        </w:rPr>
        <w:t>三</w:t>
      </w:r>
      <w:r>
        <w:rPr>
          <w:rFonts w:hint="eastAsia" w:asciiTheme="minorEastAsia" w:hAnsiTheme="minorEastAsia" w:eastAsiaTheme="minorEastAsia"/>
          <w:kern w:val="0"/>
          <w:sz w:val="24"/>
          <w:szCs w:val="24"/>
        </w:rPr>
        <w:t>日</w:t>
      </w:r>
    </w:p>
    <w:sectPr>
      <w:pgSz w:w="11906" w:h="16838"/>
      <w:pgMar w:top="1304" w:right="1800" w:bottom="130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506C3"/>
    <w:multiLevelType w:val="singleLevel"/>
    <w:tmpl w:val="C2A506C3"/>
    <w:lvl w:ilvl="0" w:tentative="0">
      <w:start w:val="1"/>
      <w:numFmt w:val="decimal"/>
      <w:suff w:val="nothing"/>
      <w:lvlText w:val="%1、"/>
      <w:lvlJc w:val="left"/>
    </w:lvl>
  </w:abstractNum>
  <w:abstractNum w:abstractNumId="1">
    <w:nsid w:val="75DFF118"/>
    <w:multiLevelType w:val="singleLevel"/>
    <w:tmpl w:val="75DFF11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6E6AFD"/>
    <w:rsid w:val="00011431"/>
    <w:rsid w:val="0005344A"/>
    <w:rsid w:val="00054CA8"/>
    <w:rsid w:val="000864CE"/>
    <w:rsid w:val="000D3ABD"/>
    <w:rsid w:val="000E0DC2"/>
    <w:rsid w:val="000E1211"/>
    <w:rsid w:val="000F31DF"/>
    <w:rsid w:val="0010598A"/>
    <w:rsid w:val="00110CA2"/>
    <w:rsid w:val="001263DD"/>
    <w:rsid w:val="00126B17"/>
    <w:rsid w:val="001454CC"/>
    <w:rsid w:val="00160828"/>
    <w:rsid w:val="00171561"/>
    <w:rsid w:val="001834CB"/>
    <w:rsid w:val="00184D4F"/>
    <w:rsid w:val="001916B2"/>
    <w:rsid w:val="001917EB"/>
    <w:rsid w:val="00195116"/>
    <w:rsid w:val="001E670F"/>
    <w:rsid w:val="001E7C24"/>
    <w:rsid w:val="00201033"/>
    <w:rsid w:val="0020339F"/>
    <w:rsid w:val="00287EF9"/>
    <w:rsid w:val="002A54EE"/>
    <w:rsid w:val="002D792A"/>
    <w:rsid w:val="00333043"/>
    <w:rsid w:val="00352817"/>
    <w:rsid w:val="00354540"/>
    <w:rsid w:val="003C7D52"/>
    <w:rsid w:val="003D6B08"/>
    <w:rsid w:val="003D76D1"/>
    <w:rsid w:val="003E3AAF"/>
    <w:rsid w:val="00407607"/>
    <w:rsid w:val="004311AF"/>
    <w:rsid w:val="004A3D6D"/>
    <w:rsid w:val="004D6190"/>
    <w:rsid w:val="004E7761"/>
    <w:rsid w:val="004F40B5"/>
    <w:rsid w:val="004F782E"/>
    <w:rsid w:val="00551063"/>
    <w:rsid w:val="00573F4A"/>
    <w:rsid w:val="0057640B"/>
    <w:rsid w:val="00583371"/>
    <w:rsid w:val="005A7547"/>
    <w:rsid w:val="005C6441"/>
    <w:rsid w:val="005E2C8B"/>
    <w:rsid w:val="00602F1F"/>
    <w:rsid w:val="0060371E"/>
    <w:rsid w:val="006079CD"/>
    <w:rsid w:val="006118F4"/>
    <w:rsid w:val="00617D60"/>
    <w:rsid w:val="00624B96"/>
    <w:rsid w:val="00630782"/>
    <w:rsid w:val="00657C02"/>
    <w:rsid w:val="00666BB4"/>
    <w:rsid w:val="00677B15"/>
    <w:rsid w:val="006822AB"/>
    <w:rsid w:val="00687BBD"/>
    <w:rsid w:val="006A1355"/>
    <w:rsid w:val="006A57D4"/>
    <w:rsid w:val="006B72A6"/>
    <w:rsid w:val="006B7F97"/>
    <w:rsid w:val="006D60ED"/>
    <w:rsid w:val="006D6ACA"/>
    <w:rsid w:val="006E6AFD"/>
    <w:rsid w:val="006F59DF"/>
    <w:rsid w:val="00704E4B"/>
    <w:rsid w:val="0070765B"/>
    <w:rsid w:val="007213AD"/>
    <w:rsid w:val="0072689F"/>
    <w:rsid w:val="00737F5E"/>
    <w:rsid w:val="007443CA"/>
    <w:rsid w:val="00790F83"/>
    <w:rsid w:val="007929B1"/>
    <w:rsid w:val="0079769C"/>
    <w:rsid w:val="007B0AB1"/>
    <w:rsid w:val="007C5053"/>
    <w:rsid w:val="00822E8C"/>
    <w:rsid w:val="00824DED"/>
    <w:rsid w:val="00832685"/>
    <w:rsid w:val="00833F5E"/>
    <w:rsid w:val="00841BE8"/>
    <w:rsid w:val="00847235"/>
    <w:rsid w:val="00862A46"/>
    <w:rsid w:val="00875EEF"/>
    <w:rsid w:val="008A20CE"/>
    <w:rsid w:val="008C20B1"/>
    <w:rsid w:val="008C3C6D"/>
    <w:rsid w:val="008D4E62"/>
    <w:rsid w:val="008F4FC7"/>
    <w:rsid w:val="00932963"/>
    <w:rsid w:val="00942336"/>
    <w:rsid w:val="0095138F"/>
    <w:rsid w:val="00956444"/>
    <w:rsid w:val="00974AE1"/>
    <w:rsid w:val="00984D7B"/>
    <w:rsid w:val="00985CBE"/>
    <w:rsid w:val="009960CD"/>
    <w:rsid w:val="009D0419"/>
    <w:rsid w:val="009D62D8"/>
    <w:rsid w:val="009D7EF8"/>
    <w:rsid w:val="009E3DB5"/>
    <w:rsid w:val="009F23F9"/>
    <w:rsid w:val="009F6B32"/>
    <w:rsid w:val="00A02886"/>
    <w:rsid w:val="00A22881"/>
    <w:rsid w:val="00A35185"/>
    <w:rsid w:val="00A43249"/>
    <w:rsid w:val="00A45FE7"/>
    <w:rsid w:val="00A83FCE"/>
    <w:rsid w:val="00AC3C01"/>
    <w:rsid w:val="00AC591E"/>
    <w:rsid w:val="00AC641F"/>
    <w:rsid w:val="00AD3557"/>
    <w:rsid w:val="00AF376D"/>
    <w:rsid w:val="00B00832"/>
    <w:rsid w:val="00B1650F"/>
    <w:rsid w:val="00B315E6"/>
    <w:rsid w:val="00B34194"/>
    <w:rsid w:val="00B40D14"/>
    <w:rsid w:val="00B4132A"/>
    <w:rsid w:val="00B66744"/>
    <w:rsid w:val="00B84B11"/>
    <w:rsid w:val="00BA6BC2"/>
    <w:rsid w:val="00BA7F76"/>
    <w:rsid w:val="00BB3F3F"/>
    <w:rsid w:val="00BC23FF"/>
    <w:rsid w:val="00BF13AE"/>
    <w:rsid w:val="00C428C4"/>
    <w:rsid w:val="00C719B8"/>
    <w:rsid w:val="00C75216"/>
    <w:rsid w:val="00C80118"/>
    <w:rsid w:val="00CC0EE5"/>
    <w:rsid w:val="00CE7808"/>
    <w:rsid w:val="00CF0030"/>
    <w:rsid w:val="00D12795"/>
    <w:rsid w:val="00D236FD"/>
    <w:rsid w:val="00D67256"/>
    <w:rsid w:val="00D70B6D"/>
    <w:rsid w:val="00D851B2"/>
    <w:rsid w:val="00D87C0C"/>
    <w:rsid w:val="00DA360D"/>
    <w:rsid w:val="00DF0348"/>
    <w:rsid w:val="00E330A1"/>
    <w:rsid w:val="00E37C18"/>
    <w:rsid w:val="00E430EC"/>
    <w:rsid w:val="00E85137"/>
    <w:rsid w:val="00EC027C"/>
    <w:rsid w:val="00F01039"/>
    <w:rsid w:val="00F02EDD"/>
    <w:rsid w:val="00F03CDE"/>
    <w:rsid w:val="00F05FA4"/>
    <w:rsid w:val="00F139D0"/>
    <w:rsid w:val="00F145C9"/>
    <w:rsid w:val="00F46F57"/>
    <w:rsid w:val="00F54AEF"/>
    <w:rsid w:val="00F70C8D"/>
    <w:rsid w:val="00F758CC"/>
    <w:rsid w:val="00F92383"/>
    <w:rsid w:val="00F96CE1"/>
    <w:rsid w:val="00FB6F06"/>
    <w:rsid w:val="00FC798E"/>
    <w:rsid w:val="00FF2085"/>
    <w:rsid w:val="00FF62C5"/>
    <w:rsid w:val="018207C5"/>
    <w:rsid w:val="024040CF"/>
    <w:rsid w:val="02F70D3E"/>
    <w:rsid w:val="035442A0"/>
    <w:rsid w:val="036D1C19"/>
    <w:rsid w:val="03834C74"/>
    <w:rsid w:val="06110369"/>
    <w:rsid w:val="06F41D15"/>
    <w:rsid w:val="082D6D90"/>
    <w:rsid w:val="09B948EF"/>
    <w:rsid w:val="0F8E47D8"/>
    <w:rsid w:val="10053A08"/>
    <w:rsid w:val="11641C95"/>
    <w:rsid w:val="144E4B82"/>
    <w:rsid w:val="14781A33"/>
    <w:rsid w:val="151604DA"/>
    <w:rsid w:val="156118F0"/>
    <w:rsid w:val="157224A6"/>
    <w:rsid w:val="15CA0680"/>
    <w:rsid w:val="166149F5"/>
    <w:rsid w:val="181066D2"/>
    <w:rsid w:val="19EB5888"/>
    <w:rsid w:val="1FBE4C66"/>
    <w:rsid w:val="21B87382"/>
    <w:rsid w:val="27A92E21"/>
    <w:rsid w:val="2A111E36"/>
    <w:rsid w:val="2C024AAA"/>
    <w:rsid w:val="2DF4597A"/>
    <w:rsid w:val="2E88674F"/>
    <w:rsid w:val="2F065CE2"/>
    <w:rsid w:val="30AD0FA6"/>
    <w:rsid w:val="3102072B"/>
    <w:rsid w:val="34CE124C"/>
    <w:rsid w:val="365077FE"/>
    <w:rsid w:val="37661A13"/>
    <w:rsid w:val="37ED7A3F"/>
    <w:rsid w:val="382B0567"/>
    <w:rsid w:val="3C723848"/>
    <w:rsid w:val="3D6562C9"/>
    <w:rsid w:val="3DED69EA"/>
    <w:rsid w:val="3E611186"/>
    <w:rsid w:val="3EAE357E"/>
    <w:rsid w:val="3F4D34B9"/>
    <w:rsid w:val="3F6E4F73"/>
    <w:rsid w:val="40DA6FCE"/>
    <w:rsid w:val="43A55671"/>
    <w:rsid w:val="46440826"/>
    <w:rsid w:val="47775577"/>
    <w:rsid w:val="4DEB404C"/>
    <w:rsid w:val="52585DEA"/>
    <w:rsid w:val="539B0721"/>
    <w:rsid w:val="53EB1FE5"/>
    <w:rsid w:val="54132940"/>
    <w:rsid w:val="56222B52"/>
    <w:rsid w:val="570805AA"/>
    <w:rsid w:val="57A26DC1"/>
    <w:rsid w:val="57F5027A"/>
    <w:rsid w:val="581759DD"/>
    <w:rsid w:val="58311772"/>
    <w:rsid w:val="59CF49B1"/>
    <w:rsid w:val="59E52814"/>
    <w:rsid w:val="5AE57265"/>
    <w:rsid w:val="5C5541F6"/>
    <w:rsid w:val="5E4072BB"/>
    <w:rsid w:val="60096C2D"/>
    <w:rsid w:val="613D1187"/>
    <w:rsid w:val="631E72C5"/>
    <w:rsid w:val="65183A9D"/>
    <w:rsid w:val="654C3747"/>
    <w:rsid w:val="676362B6"/>
    <w:rsid w:val="694A1879"/>
    <w:rsid w:val="6A3D59BD"/>
    <w:rsid w:val="6C1F237D"/>
    <w:rsid w:val="6E184D40"/>
    <w:rsid w:val="6E3A0F28"/>
    <w:rsid w:val="6F4109A4"/>
    <w:rsid w:val="70D73037"/>
    <w:rsid w:val="710F044A"/>
    <w:rsid w:val="71970440"/>
    <w:rsid w:val="732C709B"/>
    <w:rsid w:val="73BD11A2"/>
    <w:rsid w:val="769D6B1F"/>
    <w:rsid w:val="78033FEB"/>
    <w:rsid w:val="7AFD680F"/>
    <w:rsid w:val="7B5D1DB2"/>
    <w:rsid w:val="7BB5211A"/>
    <w:rsid w:val="7BCB1412"/>
    <w:rsid w:val="7BFE17E7"/>
    <w:rsid w:val="7D032E2D"/>
    <w:rsid w:val="7E0F2B71"/>
    <w:rsid w:val="7F3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autoRedefine/>
    <w:semiHidden/>
    <w:unhideWhenUsed/>
    <w:qFormat/>
    <w:uiPriority w:val="0"/>
    <w:pPr>
      <w:spacing w:line="600" w:lineRule="atLeast"/>
      <w:ind w:firstLine="560" w:firstLineChars="200"/>
    </w:pPr>
    <w:rPr>
      <w:rFonts w:ascii="Times New Roman" w:hAnsi="Times New Roman"/>
      <w:sz w:val="28"/>
      <w:szCs w:val="24"/>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semiHidden/>
    <w:unhideWhenUsed/>
    <w:qFormat/>
    <w:uiPriority w:val="99"/>
    <w:rPr>
      <w:color w:val="800080" w:themeColor="followedHyperlink"/>
      <w:u w:val="single"/>
      <w14:textFill>
        <w14:solidFill>
          <w14:schemeClr w14:val="folHlink"/>
        </w14:solidFill>
      </w14:textFill>
    </w:rPr>
  </w:style>
  <w:style w:type="character" w:styleId="10">
    <w:name w:val="Hyperlink"/>
    <w:unhideWhenUsed/>
    <w:qFormat/>
    <w:uiPriority w:val="99"/>
    <w:rPr>
      <w:color w:val="0000FF"/>
      <w:u w:val="single"/>
    </w:rPr>
  </w:style>
  <w:style w:type="character" w:customStyle="1" w:styleId="11">
    <w:name w:val="页眉 Char"/>
    <w:basedOn w:val="8"/>
    <w:link w:val="5"/>
    <w:qFormat/>
    <w:uiPriority w:val="99"/>
    <w:rPr>
      <w:rFonts w:ascii="Calibri" w:hAnsi="Calibri" w:eastAsia="宋体" w:cs="Times New Roman"/>
      <w:sz w:val="18"/>
      <w:szCs w:val="18"/>
    </w:rPr>
  </w:style>
  <w:style w:type="character" w:customStyle="1" w:styleId="12">
    <w:name w:val="页脚 Char"/>
    <w:basedOn w:val="8"/>
    <w:link w:val="4"/>
    <w:qFormat/>
    <w:uiPriority w:val="99"/>
    <w:rPr>
      <w:rFonts w:ascii="Calibri" w:hAnsi="Calibri" w:eastAsia="宋体" w:cs="Times New Roman"/>
      <w:sz w:val="18"/>
      <w:szCs w:val="18"/>
    </w:rPr>
  </w:style>
  <w:style w:type="character" w:customStyle="1" w:styleId="13">
    <w:name w:val="正文文本缩进 Char"/>
    <w:basedOn w:val="8"/>
    <w:link w:val="2"/>
    <w:semiHidden/>
    <w:qFormat/>
    <w:uiPriority w:val="0"/>
    <w:rPr>
      <w:rFonts w:ascii="Times New Roman" w:hAnsi="Times New Roman" w:eastAsia="宋体" w:cs="Times New Roman"/>
      <w:sz w:val="28"/>
      <w:szCs w:val="24"/>
    </w:rPr>
  </w:style>
  <w:style w:type="character" w:customStyle="1" w:styleId="14">
    <w:name w:val="批注框文本 Char"/>
    <w:basedOn w:val="8"/>
    <w:link w:val="3"/>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1336</Words>
  <Characters>1596</Characters>
  <Lines>6</Lines>
  <Paragraphs>1</Paragraphs>
  <TotalTime>3</TotalTime>
  <ScaleCrop>false</ScaleCrop>
  <LinksUpToDate>false</LinksUpToDate>
  <CharactersWithSpaces>1624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2022-03-19T06:48:00Z</dcterms:created>
  <dc:creator>杨溶</dc:creator>
  <cp:lastModifiedBy>WSY</cp:lastModifiedBy>
  <cp:lastPrinted>2018-07-04T07:08:00Z</cp:lastPrinted>
  <dcterms:modified xsi:type="dcterms:W3CDTF">2026-06-02T06:59:56Z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B7B4CE2FE08B430492A30C82B3786585</vt:lpwstr>
  </property>
  <property fmtid="{D5CDD505-2E9C-101B-9397-08002B2CF9AE}" pid="4" name="KSOTemplateDocerSaveRecord">
    <vt:lpwstr>eyJoZGlkIjoiYzAzYzc4OWY4MzI0OGU5NmNmYjc1OGMxNDQ2Zjg0YzciLCJ1c2VySWQiOiIyNjU0NTI1NDMifQ==</vt:lpwstr>
  </property>
</Properties>
</file>