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E1DC">
      <w:pPr>
        <w:pStyle w:val="7"/>
        <w:spacing w:line="360" w:lineRule="auto"/>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华孚时尚股份有限公司</w:t>
      </w:r>
    </w:p>
    <w:p w14:paraId="5C21739F">
      <w:pPr>
        <w:jc w:val="center"/>
        <w:rPr>
          <w:rFonts w:hint="eastAsia" w:asciiTheme="minorEastAsia" w:hAnsiTheme="minorEastAsia" w:eastAsiaTheme="minorEastAsia"/>
          <w:b/>
          <w:bCs/>
          <w:sz w:val="36"/>
          <w:szCs w:val="36"/>
        </w:rPr>
      </w:pPr>
      <w:r>
        <w:rPr>
          <w:rFonts w:hint="eastAsia" w:asciiTheme="minorEastAsia" w:hAnsiTheme="minorEastAsia"/>
          <w:b/>
          <w:bCs/>
          <w:sz w:val="36"/>
          <w:szCs w:val="36"/>
          <w:lang w:eastAsia="zh-CN"/>
        </w:rPr>
        <w:t>2025</w:t>
      </w:r>
      <w:r>
        <w:rPr>
          <w:rFonts w:hint="eastAsia" w:asciiTheme="minorEastAsia" w:hAnsiTheme="minorEastAsia" w:eastAsiaTheme="minorEastAsia"/>
          <w:b/>
          <w:bCs/>
          <w:sz w:val="36"/>
          <w:szCs w:val="36"/>
        </w:rPr>
        <w:t>年度董事会工作报告</w:t>
      </w:r>
    </w:p>
    <w:p w14:paraId="14C1CAF5">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lang w:eastAsia="zh-CN"/>
        </w:rPr>
        <w:t>2025</w:t>
      </w:r>
      <w:r>
        <w:rPr>
          <w:rFonts w:hint="eastAsia" w:hAnsi="宋体"/>
          <w:sz w:val="24"/>
          <w:szCs w:val="24"/>
        </w:rPr>
        <w:t>年，公司董事会工作严格遵守《中华人民共和国公司法》《中华人民共和国证券法》《深圳证券交易所股票上市规则》《公司章程》《深圳证券交易所上市公司规范运作指引》等相关法律、法规、规范性文件及公司制度的规定展开，认真履行各项职责，规范运作，积极推动公司各项工作，现将</w:t>
      </w:r>
      <w:r>
        <w:rPr>
          <w:rFonts w:hint="eastAsia" w:hAnsi="宋体"/>
          <w:sz w:val="24"/>
          <w:szCs w:val="24"/>
          <w:lang w:eastAsia="zh-CN"/>
        </w:rPr>
        <w:t>2025</w:t>
      </w:r>
      <w:r>
        <w:rPr>
          <w:rFonts w:hint="eastAsia" w:hAnsi="宋体"/>
          <w:sz w:val="24"/>
          <w:szCs w:val="24"/>
        </w:rPr>
        <w:t>年公司董事会工作情况汇报如下：</w:t>
      </w:r>
    </w:p>
    <w:p w14:paraId="12A9278F">
      <w:pPr>
        <w:pStyle w:val="7"/>
        <w:keepNext w:val="0"/>
        <w:keepLines w:val="0"/>
        <w:pageBreakBefore w:val="0"/>
        <w:kinsoku/>
        <w:overflowPunct/>
        <w:topLinePunct w:val="0"/>
        <w:bidi w:val="0"/>
        <w:snapToGrid/>
        <w:spacing w:line="360" w:lineRule="auto"/>
        <w:ind w:firstLine="482" w:firstLineChars="200"/>
        <w:jc w:val="both"/>
        <w:textAlignment w:val="auto"/>
        <w:rPr>
          <w:rFonts w:hAnsi="宋体"/>
          <w:b/>
          <w:color w:val="auto"/>
          <w:sz w:val="24"/>
          <w:szCs w:val="24"/>
        </w:rPr>
      </w:pPr>
      <w:r>
        <w:rPr>
          <w:rFonts w:hint="eastAsia" w:hAnsi="宋体"/>
          <w:b/>
          <w:color w:val="auto"/>
          <w:sz w:val="24"/>
          <w:szCs w:val="24"/>
        </w:rPr>
        <w:t>一、报告期内公司总体经营情况</w:t>
      </w:r>
    </w:p>
    <w:p w14:paraId="5EC49507">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公司围绕“坚持主业、共享产业、发展新业”战略主题，做稳纱线主业、做大共享产业、做优新业，作为全球最大的色纺纱制造商和供应商之一，主营中高档色纺纱线，配套提供高档新型的坯纱、染色纱，同时提供流行趋势、原料与产品认证、技术咨询等增值服务。通过色彩、材质、工艺技术的集成创新，为客户提供优质的产品和服务。公司在坚持主业的同时，共享产业，以纱线贯通纺织服装产业，整合棉花种植、棉花加工、仓储物流、花纱交易、纺服供应链，</w:t>
      </w:r>
      <w:r>
        <w:rPr>
          <w:rFonts w:hint="eastAsia" w:cs="宋体"/>
          <w:color w:val="000000"/>
          <w:kern w:val="0"/>
          <w:sz w:val="24"/>
          <w:szCs w:val="24"/>
          <w:lang w:val="en-US" w:eastAsia="zh-CN" w:bidi="ar-SA"/>
        </w:rPr>
        <w:t>打造</w:t>
      </w:r>
      <w:r>
        <w:rPr>
          <w:rFonts w:hint="eastAsia" w:ascii="宋体" w:hAnsi="宋体" w:eastAsia="宋体" w:cs="宋体"/>
          <w:color w:val="000000"/>
          <w:kern w:val="0"/>
          <w:sz w:val="24"/>
          <w:szCs w:val="24"/>
          <w:lang w:val="en-US" w:eastAsia="zh-CN" w:bidi="ar-SA"/>
        </w:rPr>
        <w:t>从一朵棉花到一双袜子、一件衣服的全供应链业务，实现前后端产业贯通，致力成为全球纺织服装产业时尚营运商。发展新业以智能算力中心为抓手，提供算力租赁服务，同时探索人工智能在纺织服装业务中的应用，助力纺织产业链升级。</w:t>
      </w:r>
    </w:p>
    <w:p w14:paraId="06C5C0E3">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主营纱线方面，目前纱线产能 206 万锭，年产 29 万吨新型纱线，生产基地覆盖中国东部和新疆等地。公司通过产业链协同，统筹市场及订单信息，制定“点（产地）对点（客户）”的供应链计划，分区域、分工厂、分生产线进行规模化定制，公司坚持以客户为本，品质至上，以趋势为方向，通过产品创新提升产品品质及附加值，赢得了客户的信赖。</w:t>
      </w:r>
    </w:p>
    <w:p w14:paraId="51CC6957">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ascii="宋体" w:hAnsi="宋体" w:cs="宋体"/>
          <w:sz w:val="18"/>
          <w:szCs w:val="18"/>
        </w:rPr>
      </w:pPr>
      <w:r>
        <w:rPr>
          <w:rFonts w:hint="eastAsia" w:ascii="宋体" w:hAnsi="宋体" w:eastAsia="宋体" w:cs="宋体"/>
          <w:color w:val="000000"/>
          <w:kern w:val="0"/>
          <w:sz w:val="24"/>
          <w:szCs w:val="24"/>
          <w:lang w:val="en-US" w:eastAsia="zh-CN" w:bidi="ar-SA"/>
        </w:rPr>
        <w:t>共享产业，以纱线连接棉业、阿大、华尚供应链平台公司，贯通全产业链。棉业立足新疆，选择核心轧花厂、扩大虚拟农业合作社，投资种业科技、开发特色棉种，完善销售渠道、提升贸融能力，将新疆棉花交易市场打造成数字化棉花供应链平台；阿大立足诸暨，包括自主品牌经营、品牌授权经营、贴牌业务经营、纱线经营等业务模式，建立袜业创新、品牌与交易平台，打造纱袜供应链平台。</w:t>
      </w:r>
    </w:p>
    <w:p w14:paraId="06F75558">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新业围绕“东数西算”，规划“东推西训”上虞和新疆联动模式，以自有算力+调度算力形成完整的算力服务体系，全力打造成为一流的算力综合服务商。华孚科技将人工智能与纺织主业有机结合，在流行趋势分析、新型纺织纤维研发、纺织服装从设计图到工艺图生成等多个核心环节，促进企业自身效能提升，助推传统产业数智化变革。</w:t>
      </w:r>
    </w:p>
    <w:p w14:paraId="7F5B46B3">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sz w:val="24"/>
          <w:szCs w:val="24"/>
        </w:rPr>
      </w:pPr>
      <w:r>
        <w:rPr>
          <w:rFonts w:hint="eastAsia"/>
          <w:sz w:val="24"/>
          <w:szCs w:val="24"/>
        </w:rPr>
        <w:t>报告期内，公司实现营业收入80.50亿元，同比下滑25.20%，主要系公司主动压降前端棉花供应链业务，并基于谨慎从严原则，调整部分棉花贸易业务收入核算口径，不影响实际经营状况与盈利能力；归母净利润5,7</w:t>
      </w:r>
      <w:r>
        <w:rPr>
          <w:rFonts w:hint="eastAsia"/>
          <w:sz w:val="24"/>
          <w:szCs w:val="24"/>
          <w:lang w:val="en-US" w:eastAsia="zh-CN"/>
        </w:rPr>
        <w:t>40</w:t>
      </w:r>
      <w:bookmarkStart w:id="0" w:name="_GoBack"/>
      <w:bookmarkEnd w:id="0"/>
      <w:r>
        <w:rPr>
          <w:rFonts w:hint="eastAsia"/>
          <w:sz w:val="24"/>
          <w:szCs w:val="24"/>
        </w:rPr>
        <w:t>万元，实现扭亏为盈。</w:t>
      </w:r>
    </w:p>
    <w:p w14:paraId="25FF3D1C">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sz w:val="24"/>
          <w:szCs w:val="24"/>
        </w:rPr>
      </w:pPr>
      <w:r>
        <w:rPr>
          <w:rFonts w:hint="eastAsia"/>
          <w:sz w:val="24"/>
          <w:szCs w:val="24"/>
        </w:rPr>
        <w:t>2025年纺织行业在复杂环境下有所承压，企业面临需求内生动力仍待恢复、全球经贸风险加剧等带来的挑战。公司持续拓展内循环市场空间，深度挖掘国内供应链客户，抓住产业集中度提升机会，围绕功能科技、时尚快反、可持续发展、高质量发展四条主线，多品类拓展市场，主营纱线业务平稳增长。受国际环境、贸易保护主义、产业安全等问题的持续影响，以及原料供应端冲击和终端有效需求不足的双向挤压，棉花的金融属性及其价格大幅波动对企业运行影响明显，为了规避价格波动的冲击，公司压降前端棉花供应链业务。</w:t>
      </w:r>
    </w:p>
    <w:p w14:paraId="547A5736">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rPr>
        <w:t xml:space="preserve">1.董事会会议召开情况 </w:t>
      </w:r>
    </w:p>
    <w:p w14:paraId="1FAE9B01">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rPr>
        <w:t>根据《公司章程》《董事会议事规则》的相关规定及公司</w:t>
      </w:r>
      <w:r>
        <w:rPr>
          <w:rFonts w:hint="eastAsia" w:hAnsi="宋体"/>
          <w:sz w:val="24"/>
          <w:szCs w:val="24"/>
          <w:lang w:eastAsia="zh-CN"/>
        </w:rPr>
        <w:t>2025</w:t>
      </w:r>
      <w:r>
        <w:rPr>
          <w:rFonts w:hint="eastAsia" w:hAnsi="宋体"/>
          <w:sz w:val="24"/>
          <w:szCs w:val="24"/>
        </w:rPr>
        <w:t>年的实际经营情况，</w:t>
      </w:r>
      <w:r>
        <w:rPr>
          <w:rFonts w:hint="eastAsia" w:hAnsi="宋体"/>
          <w:sz w:val="24"/>
          <w:szCs w:val="24"/>
          <w:lang w:eastAsia="zh-CN"/>
        </w:rPr>
        <w:t>2025</w:t>
      </w:r>
      <w:r>
        <w:rPr>
          <w:rFonts w:hint="eastAsia" w:hAnsi="宋体"/>
          <w:sz w:val="24"/>
          <w:szCs w:val="24"/>
        </w:rPr>
        <w:t>年公司董事会共召开</w:t>
      </w:r>
      <w:r>
        <w:rPr>
          <w:rFonts w:hint="eastAsia" w:hAnsi="宋体"/>
          <w:sz w:val="24"/>
          <w:szCs w:val="24"/>
          <w:lang w:val="en-US" w:eastAsia="zh-CN"/>
        </w:rPr>
        <w:t>5</w:t>
      </w:r>
      <w:r>
        <w:rPr>
          <w:rFonts w:hint="eastAsia" w:hAnsi="宋体"/>
          <w:sz w:val="24"/>
          <w:szCs w:val="24"/>
        </w:rPr>
        <w:t>次会议，审议并通过议案共</w:t>
      </w:r>
      <w:r>
        <w:rPr>
          <w:rFonts w:hint="eastAsia" w:hAnsi="宋体"/>
          <w:sz w:val="24"/>
          <w:szCs w:val="24"/>
          <w:lang w:val="en-US" w:eastAsia="zh-CN"/>
        </w:rPr>
        <w:t>30</w:t>
      </w:r>
      <w:r>
        <w:rPr>
          <w:rFonts w:hint="eastAsia" w:hAnsi="宋体"/>
          <w:sz w:val="24"/>
          <w:szCs w:val="24"/>
        </w:rPr>
        <w:t>项，确保了公司各项经营活动的顺利开展。公司全体董事勤勉尽责，能够按时出席会议。独立董事充分发挥了专业优势，在公司财务管理、内控建设、行业发展等方面提出了专业化建议，并就公司重大事项召开独立董事专门会议，使公司董事会的决策更加科学有效。</w:t>
      </w:r>
    </w:p>
    <w:p w14:paraId="7F329FF1">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lang w:eastAsia="zh-CN"/>
        </w:rPr>
        <w:t>2025</w:t>
      </w:r>
      <w:r>
        <w:rPr>
          <w:rFonts w:hint="eastAsia" w:hAnsi="宋体"/>
          <w:sz w:val="24"/>
          <w:szCs w:val="24"/>
        </w:rPr>
        <w:t>年度，公司独立董事召开</w:t>
      </w:r>
      <w:r>
        <w:rPr>
          <w:rFonts w:hint="eastAsia" w:hAnsi="宋体"/>
          <w:sz w:val="24"/>
          <w:szCs w:val="24"/>
          <w:lang w:val="en-US" w:eastAsia="zh-CN"/>
        </w:rPr>
        <w:t>一</w:t>
      </w:r>
      <w:r>
        <w:rPr>
          <w:rFonts w:hint="eastAsia" w:hAnsi="宋体"/>
          <w:sz w:val="24"/>
          <w:szCs w:val="24"/>
        </w:rPr>
        <w:t>次独立董事专门会议，审议内容4项，内容涉及关联交易、利润分配等重大事项。</w:t>
      </w:r>
    </w:p>
    <w:p w14:paraId="0CAD799E">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rPr>
        <w:t>2.</w:t>
      </w:r>
      <w:r>
        <w:rPr>
          <w:rFonts w:hint="eastAsia" w:hAnsi="宋体"/>
          <w:sz w:val="24"/>
          <w:szCs w:val="24"/>
          <w:lang w:eastAsia="zh-CN"/>
        </w:rPr>
        <w:t>股东会</w:t>
      </w:r>
      <w:r>
        <w:rPr>
          <w:rFonts w:hint="eastAsia" w:hAnsi="宋体"/>
          <w:sz w:val="24"/>
          <w:szCs w:val="24"/>
        </w:rPr>
        <w:t>的召开情况及对</w:t>
      </w:r>
      <w:r>
        <w:rPr>
          <w:rFonts w:hint="eastAsia" w:hAnsi="宋体"/>
          <w:sz w:val="24"/>
          <w:szCs w:val="24"/>
          <w:lang w:eastAsia="zh-CN"/>
        </w:rPr>
        <w:t>股东会</w:t>
      </w:r>
      <w:r>
        <w:rPr>
          <w:rFonts w:hint="eastAsia" w:hAnsi="宋体"/>
          <w:sz w:val="24"/>
          <w:szCs w:val="24"/>
        </w:rPr>
        <w:t xml:space="preserve">决议的执行情况 </w:t>
      </w:r>
    </w:p>
    <w:p w14:paraId="3DBC07A0">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lang w:eastAsia="zh-CN"/>
        </w:rPr>
        <w:t>2025</w:t>
      </w:r>
      <w:r>
        <w:rPr>
          <w:rFonts w:hint="eastAsia" w:hAnsi="宋体"/>
          <w:sz w:val="24"/>
          <w:szCs w:val="24"/>
        </w:rPr>
        <w:t>年，公司董事会召集召开3次</w:t>
      </w:r>
      <w:r>
        <w:rPr>
          <w:rFonts w:hint="eastAsia" w:hAnsi="宋体"/>
          <w:sz w:val="24"/>
          <w:szCs w:val="24"/>
          <w:lang w:eastAsia="zh-CN"/>
        </w:rPr>
        <w:t>股东会</w:t>
      </w:r>
      <w:r>
        <w:rPr>
          <w:rFonts w:hint="eastAsia" w:hAnsi="宋体"/>
          <w:sz w:val="24"/>
          <w:szCs w:val="24"/>
        </w:rPr>
        <w:t>，审议议案</w:t>
      </w:r>
      <w:r>
        <w:rPr>
          <w:rFonts w:hint="eastAsia" w:hAnsi="宋体"/>
          <w:sz w:val="24"/>
          <w:szCs w:val="24"/>
          <w:lang w:val="en-US" w:eastAsia="zh-CN"/>
        </w:rPr>
        <w:t>17</w:t>
      </w:r>
      <w:r>
        <w:rPr>
          <w:rFonts w:hint="eastAsia" w:hAnsi="宋体"/>
          <w:sz w:val="24"/>
          <w:szCs w:val="24"/>
        </w:rPr>
        <w:t>项，确保了投资者的知情权、参与权和决策权。公司董事会及时贯彻落实</w:t>
      </w:r>
      <w:r>
        <w:rPr>
          <w:rFonts w:hint="eastAsia" w:hAnsi="宋体"/>
          <w:sz w:val="24"/>
          <w:szCs w:val="24"/>
          <w:lang w:eastAsia="zh-CN"/>
        </w:rPr>
        <w:t>股东会</w:t>
      </w:r>
      <w:r>
        <w:rPr>
          <w:rFonts w:hint="eastAsia" w:hAnsi="宋体"/>
          <w:sz w:val="24"/>
          <w:szCs w:val="24"/>
        </w:rPr>
        <w:t>的各项决议，完成了</w:t>
      </w:r>
      <w:r>
        <w:rPr>
          <w:rFonts w:hint="eastAsia" w:hAnsi="宋体"/>
          <w:sz w:val="24"/>
          <w:szCs w:val="24"/>
          <w:lang w:eastAsia="zh-CN"/>
        </w:rPr>
        <w:t>股东会</w:t>
      </w:r>
      <w:r>
        <w:rPr>
          <w:rFonts w:hint="eastAsia" w:hAnsi="宋体"/>
          <w:sz w:val="24"/>
          <w:szCs w:val="24"/>
        </w:rPr>
        <w:t xml:space="preserve">授权董事会开展的各项工作。 </w:t>
      </w:r>
    </w:p>
    <w:p w14:paraId="5C28A0C9">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rPr>
        <w:t xml:space="preserve">3、信息披露管理工作 </w:t>
      </w:r>
    </w:p>
    <w:p w14:paraId="689C7963">
      <w:pPr>
        <w:keepNext w:val="0"/>
        <w:keepLines w:val="0"/>
        <w:pageBreakBefore w:val="0"/>
        <w:kinsoku/>
        <w:overflowPunct/>
        <w:topLinePunct w:val="0"/>
        <w:bidi w:val="0"/>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公司严格依据《中华人民共和国公司法》《中华人民共和国证券法》《上市公司信息披露管理办法》《深圳证券交易所股票上市规则》等相关法律、法规、规范性文件和《华孚时尚股份有限公司章程》等相关规定，真实、准确、完整地进行信息披露，保证投资者的合法权益，确保投资者及时、公平地获知公司信息，切实提高公司的透明度和治理水平。</w:t>
      </w:r>
      <w:r>
        <w:rPr>
          <w:rFonts w:hint="eastAsia" w:ascii="宋体" w:hAnsi="宋体" w:eastAsia="宋体" w:cs="宋体"/>
          <w:sz w:val="24"/>
          <w:szCs w:val="24"/>
          <w:lang w:val="en-US" w:eastAsia="zh-CN"/>
        </w:rPr>
        <w:t>依据新的《上市公司章程指引》，2025年度公司修订了《公司章程》及《董事会议事规则》，调整公司董事会组成结构，经职工代表大会选举产生职工代表董事，审计委员会依法承接公司监事会职能。根据法规和公司规范运作要求，公司2025年度共修订和制定13项治理制度，包括《市值管理制度》等，并提交董事会及股东会审议</w:t>
      </w:r>
      <w:r>
        <w:rPr>
          <w:rFonts w:hint="eastAsia" w:ascii="宋体" w:hAnsi="宋体" w:eastAsia="宋体" w:cs="宋体"/>
          <w:sz w:val="24"/>
          <w:szCs w:val="24"/>
        </w:rPr>
        <w:t>，并保证制度的实施和违反制度的监督、纠正机制，以及制度的更新机制。</w:t>
      </w:r>
    </w:p>
    <w:p w14:paraId="1F6A91B9">
      <w:pPr>
        <w:keepNext w:val="0"/>
        <w:keepLines w:val="0"/>
        <w:pageBreakBefore w:val="0"/>
        <w:kinsoku/>
        <w:overflowPunct/>
        <w:topLinePunct w:val="0"/>
        <w:bidi w:val="0"/>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公司指定的信息披露媒体为《中国证券报》、《证券时报》、以及巨潮网（http://www.cninfo.com.cn）。</w:t>
      </w:r>
      <w:r>
        <w:rPr>
          <w:rFonts w:hint="eastAsia" w:ascii="宋体" w:hAnsi="宋体" w:eastAsia="宋体" w:cs="宋体"/>
          <w:sz w:val="24"/>
          <w:szCs w:val="24"/>
          <w:lang w:eastAsia="zh-CN"/>
        </w:rPr>
        <w:t>2025</w:t>
      </w:r>
      <w:r>
        <w:rPr>
          <w:rFonts w:hint="eastAsia" w:ascii="宋体" w:hAnsi="宋体" w:eastAsia="宋体" w:cs="宋体"/>
          <w:sz w:val="24"/>
          <w:szCs w:val="24"/>
        </w:rPr>
        <w:t>年度，公司发布公告及非公告上网文件</w:t>
      </w:r>
      <w:r>
        <w:rPr>
          <w:rFonts w:hint="eastAsia" w:ascii="宋体" w:hAnsi="宋体" w:eastAsia="宋体" w:cs="宋体"/>
          <w:sz w:val="24"/>
          <w:szCs w:val="24"/>
          <w:lang w:val="en-US" w:eastAsia="zh-CN"/>
        </w:rPr>
        <w:t>86</w:t>
      </w:r>
      <w:r>
        <w:rPr>
          <w:rFonts w:hint="eastAsia" w:ascii="宋体" w:hAnsi="宋体" w:eastAsia="宋体" w:cs="宋体"/>
          <w:sz w:val="24"/>
          <w:szCs w:val="24"/>
        </w:rPr>
        <w:t>份，其中定期报告4份，临时公告</w:t>
      </w:r>
      <w:r>
        <w:rPr>
          <w:rFonts w:hint="eastAsia" w:ascii="宋体" w:hAnsi="宋体" w:eastAsia="宋体" w:cs="宋体"/>
          <w:sz w:val="24"/>
          <w:szCs w:val="24"/>
          <w:lang w:val="en-US" w:eastAsia="zh-CN"/>
        </w:rPr>
        <w:t>42</w:t>
      </w:r>
      <w:r>
        <w:rPr>
          <w:rFonts w:hint="eastAsia" w:ascii="宋体" w:hAnsi="宋体" w:eastAsia="宋体" w:cs="宋体"/>
          <w:sz w:val="24"/>
          <w:szCs w:val="24"/>
        </w:rPr>
        <w:t>份，非公告上网文件</w:t>
      </w:r>
      <w:r>
        <w:rPr>
          <w:rFonts w:hint="eastAsia" w:ascii="宋体" w:hAnsi="宋体" w:eastAsia="宋体" w:cs="宋体"/>
          <w:sz w:val="24"/>
          <w:szCs w:val="24"/>
          <w:lang w:val="en-US" w:eastAsia="zh-CN"/>
        </w:rPr>
        <w:t>40</w:t>
      </w:r>
      <w:r>
        <w:rPr>
          <w:rFonts w:hint="eastAsia" w:ascii="宋体" w:hAnsi="宋体" w:eastAsia="宋体" w:cs="宋体"/>
          <w:sz w:val="24"/>
          <w:szCs w:val="24"/>
        </w:rPr>
        <w:t>份。公司还将信息披露公告文稿和相关备查文件置备于公司场所，以方便提供给社会公众查阅。</w:t>
      </w:r>
    </w:p>
    <w:p w14:paraId="3FD78B48">
      <w:pPr>
        <w:pStyle w:val="7"/>
        <w:keepNext w:val="0"/>
        <w:keepLines w:val="0"/>
        <w:pageBreakBefore w:val="0"/>
        <w:kinsoku/>
        <w:overflowPunct/>
        <w:topLinePunct w:val="0"/>
        <w:bidi w:val="0"/>
        <w:snapToGrid/>
        <w:spacing w:line="360" w:lineRule="auto"/>
        <w:ind w:firstLine="480" w:firstLineChars="200"/>
        <w:jc w:val="both"/>
        <w:textAlignment w:val="auto"/>
        <w:rPr>
          <w:rFonts w:hAnsi="宋体"/>
          <w:sz w:val="24"/>
          <w:szCs w:val="24"/>
        </w:rPr>
      </w:pPr>
      <w:r>
        <w:rPr>
          <w:rFonts w:hint="eastAsia" w:hAnsi="宋体"/>
          <w:sz w:val="24"/>
          <w:szCs w:val="24"/>
        </w:rPr>
        <w:t xml:space="preserve">4、投资者关系管理工作 </w:t>
      </w:r>
    </w:p>
    <w:p w14:paraId="0B5A70DE">
      <w:pPr>
        <w:keepNext w:val="0"/>
        <w:keepLines w:val="0"/>
        <w:pageBreakBefore w:val="0"/>
        <w:kinsoku/>
        <w:overflowPunct/>
        <w:topLinePunct w:val="0"/>
        <w:bidi w:val="0"/>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公司一直注重投资者关系管理，董事会办公室负责投资者关系的日常管理工作，通过电话沟通、接待投资者调研、网络互动平台、网上业绩说明会等形式，加强与投资者的沟通与联系。公司</w:t>
      </w:r>
      <w:r>
        <w:rPr>
          <w:rFonts w:hint="eastAsia" w:ascii="宋体" w:hAnsi="宋体" w:eastAsia="宋体" w:cs="宋体"/>
          <w:sz w:val="24"/>
          <w:szCs w:val="24"/>
          <w:lang w:eastAsia="zh-CN"/>
        </w:rPr>
        <w:t>2025</w:t>
      </w:r>
      <w:r>
        <w:rPr>
          <w:rFonts w:hint="eastAsia" w:ascii="宋体" w:hAnsi="宋体" w:eastAsia="宋体" w:cs="宋体"/>
          <w:sz w:val="24"/>
          <w:szCs w:val="24"/>
        </w:rPr>
        <w:t>年度回复投资者互动平台投资者问题</w:t>
      </w:r>
      <w:r>
        <w:rPr>
          <w:rFonts w:hint="eastAsia" w:ascii="宋体" w:hAnsi="宋体" w:eastAsia="宋体" w:cs="宋体"/>
          <w:sz w:val="24"/>
          <w:szCs w:val="24"/>
          <w:lang w:val="en-US" w:eastAsia="zh-CN"/>
        </w:rPr>
        <w:t>168</w:t>
      </w:r>
      <w:r>
        <w:rPr>
          <w:rFonts w:hint="eastAsia" w:ascii="宋体" w:hAnsi="宋体" w:eastAsia="宋体" w:cs="宋体"/>
          <w:sz w:val="24"/>
          <w:szCs w:val="24"/>
        </w:rPr>
        <w:t>条，对广大投资者关心的问题进行了解和及时答复。</w:t>
      </w:r>
      <w:r>
        <w:rPr>
          <w:rFonts w:hint="eastAsia" w:ascii="宋体" w:hAnsi="宋体" w:eastAsia="宋体" w:cs="宋体"/>
          <w:sz w:val="24"/>
          <w:szCs w:val="24"/>
          <w:lang w:val="en-US" w:eastAsia="zh-CN"/>
        </w:rPr>
        <w:t>2025年度，公司及时召开了2024年度网上业绩说明会，并积极参加安徽辖区上市公司投资者网上集体接待日活动。</w:t>
      </w:r>
      <w:r>
        <w:rPr>
          <w:rFonts w:hint="eastAsia" w:ascii="宋体" w:hAnsi="宋体" w:eastAsia="宋体" w:cs="宋体"/>
          <w:sz w:val="24"/>
          <w:szCs w:val="24"/>
        </w:rPr>
        <w:t>公司重视投资者的意见与反馈信息，及时收集整理并传达至决策层，同时注重投资者利益的保护。公司高级管理人员积极参与各种投资者关系的活动。</w:t>
      </w:r>
    </w:p>
    <w:p w14:paraId="6AD23685">
      <w:pPr>
        <w:keepNext w:val="0"/>
        <w:keepLines w:val="0"/>
        <w:pageBreakBefore w:val="0"/>
        <w:kinsoku/>
        <w:overflowPunct/>
        <w:topLinePunct w:val="0"/>
        <w:bidi w:val="0"/>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为了加强与投资者的沟通和互动，公司制订了《投资者关系管理办法》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互动易平台信息发布及回复内部审核制度》</w:t>
      </w:r>
      <w:r>
        <w:rPr>
          <w:rFonts w:hint="eastAsia" w:ascii="宋体" w:hAnsi="宋体" w:eastAsia="宋体" w:cs="宋体"/>
          <w:sz w:val="24"/>
          <w:szCs w:val="24"/>
        </w:rPr>
        <w:t>，规范公司与投资者联络沟通工作，对投资者所提供的资料和沟通的问题都基于公平、公开原则。</w:t>
      </w:r>
    </w:p>
    <w:p w14:paraId="61496CE4">
      <w:pPr>
        <w:keepNext w:val="0"/>
        <w:keepLines w:val="0"/>
        <w:pageBreakBefore w:val="0"/>
        <w:kinsoku/>
        <w:overflowPunct/>
        <w:topLinePunct w:val="0"/>
        <w:bidi w:val="0"/>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公司把投资者关系管理作为一项长期、持续的工作来开展，不断学习、借鉴先进的投资者关系管理经验，以更好的方式和更通畅的途径使投资者能够及时、平等地获取公司经营管理、未来发展等信息，力求维护与投资者密切的互动关系，树立公司良好的资本市场形象。</w:t>
      </w:r>
    </w:p>
    <w:p w14:paraId="587C2CC1">
      <w:pPr>
        <w:pStyle w:val="7"/>
        <w:keepNext w:val="0"/>
        <w:keepLines w:val="0"/>
        <w:pageBreakBefore w:val="0"/>
        <w:kinsoku/>
        <w:wordWrap w:val="0"/>
        <w:overflowPunct/>
        <w:topLinePunct w:val="0"/>
        <w:bidi w:val="0"/>
        <w:snapToGrid/>
        <w:spacing w:line="360" w:lineRule="auto"/>
        <w:ind w:firstLine="480" w:firstLineChars="200"/>
        <w:jc w:val="both"/>
        <w:textAlignment w:val="auto"/>
        <w:rPr>
          <w:rFonts w:hAnsi="宋体"/>
          <w:color w:val="auto"/>
          <w:sz w:val="24"/>
          <w:szCs w:val="24"/>
        </w:rPr>
      </w:pPr>
      <w:r>
        <w:rPr>
          <w:rFonts w:hint="eastAsia" w:hAnsi="宋体"/>
          <w:color w:val="auto"/>
          <w:sz w:val="24"/>
          <w:szCs w:val="24"/>
        </w:rPr>
        <w:t xml:space="preserve">5、内控体系建设工作 </w:t>
      </w:r>
    </w:p>
    <w:p w14:paraId="241F6277">
      <w:pPr>
        <w:keepNext w:val="0"/>
        <w:keepLines w:val="0"/>
        <w:pageBreakBefore w:val="0"/>
        <w:kinsoku/>
        <w:overflowPunct/>
        <w:topLinePunct w:val="0"/>
        <w:bidi w:val="0"/>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eastAsia="zh-CN"/>
        </w:rPr>
        <w:t>2025</w:t>
      </w:r>
      <w:r>
        <w:rPr>
          <w:rFonts w:hint="eastAsia" w:ascii="宋体" w:hAnsi="宋体" w:eastAsia="宋体" w:cs="宋体"/>
          <w:sz w:val="24"/>
          <w:szCs w:val="24"/>
        </w:rPr>
        <w:t>年，公司按照内控体系建设的要求，继续完善业务和管理流程，进一步完善了战略管理、组织架构、人力资源、财务、采购、销售等管理的控制措施。由公司审计部门对内部控制的有效性进行检查、评价，形成了《</w:t>
      </w:r>
      <w:r>
        <w:rPr>
          <w:rFonts w:hint="eastAsia" w:ascii="宋体" w:hAnsi="宋体" w:eastAsia="宋体" w:cs="宋体"/>
          <w:sz w:val="24"/>
          <w:szCs w:val="24"/>
          <w:lang w:eastAsia="zh-CN"/>
        </w:rPr>
        <w:t>2025</w:t>
      </w:r>
      <w:r>
        <w:rPr>
          <w:rFonts w:hint="eastAsia" w:ascii="宋体" w:hAnsi="宋体" w:eastAsia="宋体" w:cs="宋体"/>
          <w:sz w:val="24"/>
          <w:szCs w:val="24"/>
        </w:rPr>
        <w:t>年度内部控制评价报告》，未发现内部控制存在重大或重要缺陷。</w:t>
      </w:r>
    </w:p>
    <w:p w14:paraId="75398FC1">
      <w:pPr>
        <w:pStyle w:val="7"/>
        <w:keepNext w:val="0"/>
        <w:keepLines w:val="0"/>
        <w:pageBreakBefore w:val="0"/>
        <w:kinsoku/>
        <w:wordWrap w:val="0"/>
        <w:overflowPunct/>
        <w:topLinePunct w:val="0"/>
        <w:bidi w:val="0"/>
        <w:snapToGrid/>
        <w:spacing w:line="360" w:lineRule="auto"/>
        <w:ind w:firstLine="482" w:firstLineChars="200"/>
        <w:jc w:val="both"/>
        <w:textAlignment w:val="auto"/>
        <w:rPr>
          <w:rFonts w:hAnsi="宋体"/>
          <w:b/>
          <w:color w:val="auto"/>
          <w:sz w:val="24"/>
          <w:szCs w:val="24"/>
        </w:rPr>
      </w:pPr>
      <w:r>
        <w:rPr>
          <w:rFonts w:hint="eastAsia" w:hAnsi="宋体"/>
          <w:b/>
          <w:color w:val="auto"/>
          <w:sz w:val="24"/>
          <w:szCs w:val="24"/>
        </w:rPr>
        <w:t>二、未来发展展望</w:t>
      </w:r>
    </w:p>
    <w:p w14:paraId="0212DC56">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sz w:val="24"/>
          <w:szCs w:val="24"/>
        </w:rPr>
      </w:pPr>
      <w:r>
        <w:rPr>
          <w:rFonts w:hint="eastAsia"/>
          <w:sz w:val="24"/>
          <w:szCs w:val="24"/>
        </w:rPr>
        <w:t>（一）行业趋势</w:t>
      </w:r>
    </w:p>
    <w:p w14:paraId="6334D4C2">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ascii="宋体" w:hAnsi="宋体" w:cs="宋体"/>
          <w:sz w:val="24"/>
          <w:szCs w:val="24"/>
        </w:rPr>
      </w:pPr>
      <w:r>
        <w:rPr>
          <w:rFonts w:hint="eastAsia"/>
          <w:sz w:val="24"/>
          <w:szCs w:val="24"/>
        </w:rPr>
        <w:t>展望而言，全球经贸环境仍面临单边主义升级、贸易政策不确定性扰动、大宗商品市场波动加剧等多重风险，全球经济增长放缓、需求改善乏力仍是普遍预期。面对外部复杂形势的挑战，我国宏观经济的良好韧性与内需市场的巨大潜力，将成为纺织行业平稳发展的首要支撑；扎实推进产业结构调整与转型升级，推动行业高端化、智能化、绿色化、融合化发展，将进一步增强纺织行业的综合实力与核心竞争力。</w:t>
      </w:r>
    </w:p>
    <w:p w14:paraId="143F6E6B">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sz w:val="24"/>
          <w:szCs w:val="24"/>
        </w:rPr>
      </w:pPr>
      <w:r>
        <w:rPr>
          <w:rFonts w:hint="eastAsia"/>
          <w:sz w:val="24"/>
          <w:szCs w:val="24"/>
        </w:rPr>
        <w:t>（二）公司发展战略</w:t>
      </w:r>
    </w:p>
    <w:p w14:paraId="00B8080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继续实施“坚持主业、共享产业、发展新业”的战略主题，在产品创新、营销创新、管理创新的基础上，做宽、做厚纱线主业的护城河，同时，通过业务模式创新、金融创新、机制创新，强化公司多元业务的优势、补足业务的短板、拉通三业。</w:t>
      </w:r>
    </w:p>
    <w:p w14:paraId="6C130DD1">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营纱线，公司进行产品细分、市场开拓、区域渗透，实施双循环战略，实现海外、国内市场均衡发展。公司运用三纱合一综合优势，利用新疆资源做品牌竞争力，做强全棉产品，着力创新非棉产品，建立长周期中位线原料购销机制，提高公司对整体库存的风险规避能力。</w:t>
      </w:r>
    </w:p>
    <w:p w14:paraId="28F716D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共享产业，以有充分竞争力的纱线品类为线索，贯穿纺织服装全链运营，实现从一朵棉花到一双袜子、一件衣服的全供应链业务。</w:t>
      </w:r>
    </w:p>
    <w:p w14:paraId="40904721">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发展新业，公司着力打造上虞 AIGC 智算中心项目及新疆阿克苏城市公共算力平台项目，提供算力租赁服务；同时，公司通过智算中心的算力支持，将数字化和虚拟化技术应用于纺织服装设计和生产领域，形成人工智能产业技术研发与商业应用闭环。</w:t>
      </w:r>
    </w:p>
    <w:p w14:paraId="31A68B70">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sz w:val="24"/>
          <w:szCs w:val="24"/>
        </w:rPr>
      </w:pPr>
      <w:r>
        <w:rPr>
          <w:rFonts w:hint="eastAsia"/>
          <w:sz w:val="24"/>
          <w:szCs w:val="24"/>
        </w:rPr>
        <w:t>（三）可能面临的风险</w:t>
      </w:r>
    </w:p>
    <w:p w14:paraId="16FC7EB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1、原材料价格波动风险：棉花成本占总成本 60%以上，棉花等原料的金融属性加强，价格波动幅度增大。</w:t>
      </w:r>
    </w:p>
    <w:p w14:paraId="21A56CC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人民币汇率风险：本公司棉花部分为从国际市场采购、纺织产品部分以直接或间接方式出口海外，利用境外融资平台配置有美元外债，公司也有境外项目投资，人民币汇率的波动将对公司生产成本、营业收入以及汇兑损益产生一定影响。</w:t>
      </w:r>
    </w:p>
    <w:p w14:paraId="11747E67">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3、政治博弈带来订单波动的风险：继 2020 年公司子公司阿克苏华孚被美国商务部纳入实体清单、2022 年被列入“维吾尔强迫劳动预防法实体清单”后，2025 年 1 月华孚时尚及 25 家子公司被美国国土安全部列入实体清单事件将导致外部经营环境不确定性增加，带来订单波动加大的风险。公司通过积极开发国内及非美市场，以规避订单波动带来的风险。</w:t>
      </w:r>
    </w:p>
    <w:p w14:paraId="64AF9FF2">
      <w:pPr>
        <w:pStyle w:val="3"/>
        <w:keepNext w:val="0"/>
        <w:keepLines w:val="0"/>
        <w:pageBreakBefore w:val="0"/>
        <w:kinsoku/>
        <w:overflowPunct/>
        <w:topLinePunct w:val="0"/>
        <w:bidi w:val="0"/>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（四）公司20</w:t>
      </w:r>
      <w:r>
        <w:rPr>
          <w:rFonts w:hint="eastAsia" w:ascii="宋体" w:hAnsi="宋体" w:eastAsia="宋体" w:cs="宋体"/>
          <w:sz w:val="24"/>
          <w:szCs w:val="24"/>
          <w:lang w:val="en-US" w:eastAsia="zh-CN"/>
        </w:rPr>
        <w:t>26</w:t>
      </w:r>
      <w:r>
        <w:rPr>
          <w:rFonts w:hint="eastAsia" w:ascii="宋体" w:hAnsi="宋体" w:eastAsia="宋体" w:cs="宋体"/>
          <w:sz w:val="24"/>
          <w:szCs w:val="24"/>
        </w:rPr>
        <w:t>年经营计划和工作措施</w:t>
      </w:r>
    </w:p>
    <w:p w14:paraId="0E3A485E">
      <w:pPr>
        <w:keepNext w:val="0"/>
        <w:keepLines w:val="0"/>
        <w:pageBreakBefore w:val="0"/>
        <w:kinsoku/>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保持战略定力。继续实行“坚持主业，共享产业，发展新业”的战略，以纱线贯穿纺织服装产业，以产业互联网与柔性供应链实现产业转型，实现“原材料-纺纱-面料-成衣”全产业链覆盖，实现从时尚制造商向时尚运营商的转型。</w:t>
      </w:r>
    </w:p>
    <w:p w14:paraId="0E383F72">
      <w:pPr>
        <w:keepNext w:val="0"/>
        <w:keepLines w:val="0"/>
        <w:pageBreakBefore w:val="0"/>
        <w:kinsoku/>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实施双循环战略，实现海外、国内市场均衡发展。抓住中国市场规模大、消费升级的历史机遇，发挥公司创新快反、优良服务、资源整合的优势，系统对接头部国潮品牌、电商新锐品牌、专项市场供应链，深化区域市场开发、深耕细分市场，挖掘价值客户，持续巩固和扩大国内市场占有率。</w:t>
      </w:r>
    </w:p>
    <w:p w14:paraId="13966D68">
      <w:pPr>
        <w:keepNext w:val="0"/>
        <w:keepLines w:val="0"/>
        <w:pageBreakBefore w:val="0"/>
        <w:kinsoku/>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数智化升级。积极推行生产数据化管理，充分挖掘数据价值，扩大应用广度深度，通过流程再造、组织变革、标准改进、操作优化，提质、提效、降耗。同时，积极推进贯通产业的网链业务数智化平台建设，为共享产业打下基础。</w:t>
      </w:r>
    </w:p>
    <w:p w14:paraId="6B62DD27">
      <w:pPr>
        <w:keepNext w:val="0"/>
        <w:keepLines w:val="0"/>
        <w:pageBreakBefore w:val="0"/>
        <w:kinsoku/>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4、实施绿色低碳战略。从原料替代、产品开发、循环利用、能效提升等维度全面推进绿色低碳战略实施，按既定计划推进清洁用能。</w:t>
      </w:r>
    </w:p>
    <w:p w14:paraId="473D5212">
      <w:pPr>
        <w:pStyle w:val="7"/>
        <w:keepNext w:val="0"/>
        <w:keepLines w:val="0"/>
        <w:pageBreakBefore w:val="0"/>
        <w:kinsoku/>
        <w:wordWrap w:val="0"/>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5、布局人工智能新赛道。通过加强与高校、科研院所、行业各领域优势企业合作，提供算力租赁服务；持续优化上虞 AIGC 智算中心项目运营能力，推进新疆阿克苏城市公共算力平台项目建设；同时，公司将吸纳培育数据处理、数据分析、运营服务等领域的人才，将数字化和虚拟化技术应用于纺织服装设计和生产领域。</w:t>
      </w:r>
    </w:p>
    <w:p w14:paraId="1E08EA67">
      <w:pPr>
        <w:pStyle w:val="7"/>
        <w:keepNext w:val="0"/>
        <w:keepLines w:val="0"/>
        <w:pageBreakBefore w:val="0"/>
        <w:kinsoku/>
        <w:wordWrap w:val="0"/>
        <w:overflowPunct/>
        <w:topLinePunct w:val="0"/>
        <w:bidi w:val="0"/>
        <w:snapToGrid/>
        <w:spacing w:line="360" w:lineRule="auto"/>
        <w:ind w:firstLine="482" w:firstLineChars="200"/>
        <w:jc w:val="both"/>
        <w:textAlignment w:val="auto"/>
        <w:rPr>
          <w:rFonts w:hint="eastAsia" w:hAnsi="宋体"/>
          <w:b/>
          <w:color w:val="auto"/>
          <w:sz w:val="24"/>
          <w:szCs w:val="24"/>
          <w:lang w:val="zh-CN"/>
        </w:rPr>
      </w:pPr>
      <w:r>
        <w:rPr>
          <w:rFonts w:hint="eastAsia" w:hAnsi="宋体"/>
          <w:b/>
          <w:color w:val="auto"/>
          <w:sz w:val="24"/>
          <w:szCs w:val="24"/>
        </w:rPr>
        <w:t>三、总结</w:t>
      </w:r>
    </w:p>
    <w:p w14:paraId="02E76690">
      <w:pPr>
        <w:keepNext w:val="0"/>
        <w:keepLines w:val="0"/>
        <w:pageBreakBefore w:val="0"/>
        <w:kinsoku/>
        <w:overflowPunct/>
        <w:topLinePunct w:val="0"/>
        <w:autoSpaceDE w:val="0"/>
        <w:autoSpaceDN w:val="0"/>
        <w:bidi w:val="0"/>
        <w:adjustRightInd w:val="0"/>
        <w:snapToGrid/>
        <w:spacing w:line="360" w:lineRule="auto"/>
        <w:ind w:firstLine="480" w:firstLineChars="200"/>
        <w:jc w:val="both"/>
        <w:textAlignment w:val="auto"/>
        <w:rPr>
          <w:rFonts w:cs="宋体" w:asciiTheme="minorEastAsia" w:hAnsiTheme="minorEastAsia"/>
          <w:kern w:val="0"/>
          <w:sz w:val="24"/>
          <w:lang w:val="zh-CN"/>
        </w:rPr>
      </w:pPr>
      <w:r>
        <w:rPr>
          <w:rFonts w:hint="eastAsia" w:ascii="宋体" w:hAnsi="宋体" w:eastAsia="宋体" w:cs="宋体"/>
          <w:kern w:val="0"/>
          <w:sz w:val="24"/>
          <w:szCs w:val="24"/>
          <w:lang w:val="en-US" w:eastAsia="zh-CN"/>
        </w:rPr>
        <w:t>2026</w:t>
      </w:r>
      <w:r>
        <w:rPr>
          <w:rFonts w:hint="eastAsia" w:ascii="宋体" w:hAnsi="宋体" w:eastAsia="宋体" w:cs="宋体"/>
          <w:kern w:val="0"/>
          <w:sz w:val="24"/>
          <w:szCs w:val="24"/>
          <w:lang w:val="zh-CN"/>
        </w:rPr>
        <w:t>年，公司董事会将继续从公司实际情况出发，认真执行股东会的决议,坚持做大做强主营业务,</w:t>
      </w:r>
      <w:r>
        <w:rPr>
          <w:rFonts w:hint="eastAsia" w:ascii="宋体" w:hAnsi="宋体" w:eastAsia="宋体" w:cs="宋体"/>
          <w:kern w:val="0"/>
          <w:sz w:val="24"/>
          <w:szCs w:val="24"/>
        </w:rPr>
        <w:t>发展新业，</w:t>
      </w:r>
      <w:r>
        <w:rPr>
          <w:rFonts w:hint="eastAsia" w:ascii="宋体" w:hAnsi="宋体" w:eastAsia="宋体" w:cs="宋体"/>
          <w:kern w:val="0"/>
          <w:sz w:val="24"/>
          <w:szCs w:val="24"/>
          <w:lang w:val="zh-CN"/>
        </w:rPr>
        <w:t>努力提升公司整体盈利水平，积极维护公司及股东的利益,依法、高效、科学决策，发挥董事会在公司治理中的核心作用。</w:t>
      </w:r>
    </w:p>
    <w:p w14:paraId="67CA68B1">
      <w:pPr>
        <w:spacing w:line="480" w:lineRule="exact"/>
        <w:ind w:firstLine="480" w:firstLineChars="200"/>
        <w:jc w:val="right"/>
        <w:rPr>
          <w:rFonts w:asciiTheme="minorEastAsia" w:hAnsiTheme="minorEastAsia"/>
          <w:sz w:val="24"/>
        </w:rPr>
      </w:pPr>
    </w:p>
    <w:p w14:paraId="7FF1A82D">
      <w:pPr>
        <w:spacing w:line="480" w:lineRule="exact"/>
        <w:ind w:firstLine="480" w:firstLineChars="200"/>
        <w:jc w:val="right"/>
        <w:rPr>
          <w:rFonts w:asciiTheme="minorEastAsia" w:hAnsiTheme="minorEastAsia"/>
          <w:sz w:val="24"/>
        </w:rPr>
      </w:pPr>
      <w:r>
        <w:rPr>
          <w:rFonts w:asciiTheme="minorEastAsia" w:hAnsiTheme="minorEastAsia"/>
          <w:sz w:val="24"/>
        </w:rPr>
        <w:t>华孚时尚股份有限公司董事会</w:t>
      </w:r>
    </w:p>
    <w:p w14:paraId="607B1A32">
      <w:pPr>
        <w:jc w:val="right"/>
        <w:rPr>
          <w:rFonts w:hint="eastAsia" w:asciiTheme="minorEastAsia" w:hAnsiTheme="minorEastAsia" w:eastAsiaTheme="minorEastAsia"/>
          <w:b/>
          <w:bCs/>
          <w:sz w:val="36"/>
          <w:szCs w:val="36"/>
        </w:rPr>
      </w:pPr>
      <w:r>
        <w:rPr>
          <w:rFonts w:hint="eastAsia" w:asciiTheme="minorEastAsia" w:hAnsiTheme="minorEastAsia"/>
          <w:sz w:val="24"/>
        </w:rPr>
        <w:t>202</w:t>
      </w:r>
      <w:r>
        <w:rPr>
          <w:rFonts w:hint="eastAsia" w:asciiTheme="minorEastAsia" w:hAnsiTheme="minorEastAsia"/>
          <w:sz w:val="24"/>
          <w:lang w:val="en-US" w:eastAsia="zh-CN"/>
        </w:rPr>
        <w:t>6</w:t>
      </w:r>
      <w:r>
        <w:rPr>
          <w:rFonts w:hint="eastAsia" w:asciiTheme="minorEastAsia" w:hAnsiTheme="minorEastAsia"/>
          <w:sz w:val="24"/>
        </w:rPr>
        <w:t>年4月2</w:t>
      </w:r>
      <w:r>
        <w:rPr>
          <w:rFonts w:hint="eastAsia" w:asciiTheme="minorEastAsia" w:hAnsiTheme="minorEastAsia"/>
          <w:sz w:val="24"/>
          <w:lang w:val="en-US" w:eastAsia="zh-CN"/>
        </w:rPr>
        <w:t>9</w:t>
      </w:r>
      <w:r>
        <w:rPr>
          <w:rFonts w:hint="eastAsia" w:asciiTheme="minorEastAsia" w:hAnsiTheme="minor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F6D8B"/>
    <w:rsid w:val="074107DA"/>
    <w:rsid w:val="0ACF6D8B"/>
    <w:rsid w:val="14A979BF"/>
    <w:rsid w:val="16C7341E"/>
    <w:rsid w:val="2B883EAF"/>
    <w:rsid w:val="36343134"/>
    <w:rsid w:val="3F253F62"/>
    <w:rsid w:val="404B17A6"/>
    <w:rsid w:val="462036D5"/>
    <w:rsid w:val="46704B48"/>
    <w:rsid w:val="46EF2EC8"/>
    <w:rsid w:val="55762C91"/>
    <w:rsid w:val="5E6A32E8"/>
    <w:rsid w:val="60B2404D"/>
    <w:rsid w:val="62C52A98"/>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annotation reference"/>
    <w:basedOn w:val="5"/>
    <w:qFormat/>
    <w:uiPriority w:val="0"/>
    <w:rPr>
      <w:sz w:val="21"/>
      <w:szCs w:val="21"/>
    </w:r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4289</Words>
  <Characters>4414</Characters>
  <Lines>0</Lines>
  <Paragraphs>0</Paragraphs>
  <TotalTime>0</TotalTime>
  <ScaleCrop>false</ScaleCrop>
  <LinksUpToDate>false</LinksUpToDate>
  <CharactersWithSpaces>4437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2026-03-10T07:12:00Z</dcterms:created>
  <dc:creator>WSY</dc:creator>
  <cp:lastModifiedBy>WSY</cp:lastModifiedBy>
  <dcterms:modified xsi:type="dcterms:W3CDTF">2026-04-27T07:50:27Z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32D5D5BFBBBD4F48861B770FE45D71BC_11</vt:lpwstr>
  </property>
  <property fmtid="{D5CDD505-2E9C-101B-9397-08002B2CF9AE}" pid="4" name="KSOTemplateDocerSaveRecord">
    <vt:lpwstr>eyJoZGlkIjoiMGYyMzhhMzNmNzJhMTU4YjMxZTc1YjkyNzFjZGE5ZTciLCJ1c2VySWQiOiIyNjU0NTI1NDMifQ==</vt:lpwstr>
  </property>
</Properties>
</file>