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E561E">
      <w:pPr>
        <w:widowControl/>
        <w:spacing w:line="800" w:lineRule="exact"/>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52772875">
      <w:pPr>
        <w:widowControl/>
        <w:spacing w:line="800" w:lineRule="exact"/>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rPr>
        <w:t>关于开展期货套期保值业务的可行性分析报告</w:t>
      </w:r>
    </w:p>
    <w:p w14:paraId="294A502E">
      <w:pPr>
        <w:spacing w:before="156" w:beforeLines="50" w:after="156" w:afterLines="50" w:line="360" w:lineRule="auto"/>
        <w:ind w:right="42" w:rightChars="20" w:firstLine="480" w:firstLineChars="200"/>
        <w:rPr>
          <w:rFonts w:ascii="Times New Roman" w:hAnsi="Times New Roman" w:eastAsia="楷体_GB2312"/>
          <w:sz w:val="24"/>
          <w:szCs w:val="24"/>
        </w:rPr>
      </w:pPr>
      <w:r>
        <w:rPr>
          <w:rFonts w:ascii="Times New Roman" w:hAnsi="Times New Roman" w:eastAsia="楷体_GB2312"/>
          <w:sz w:val="24"/>
          <w:szCs w:val="24"/>
        </w:rPr>
        <w:t>本公司及董事会全体成员保证信息披露内容的真实、准确和完整，没有虚假记载、误导性陈述或者重大遗漏。</w:t>
      </w:r>
    </w:p>
    <w:p w14:paraId="214CDA68">
      <w:pPr>
        <w:pStyle w:val="7"/>
        <w:widowControl/>
        <w:spacing w:line="360" w:lineRule="auto"/>
        <w:ind w:firstLine="482"/>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一、公司</w:t>
      </w:r>
      <w:r>
        <w:rPr>
          <w:rFonts w:hint="eastAsia" w:asciiTheme="minorEastAsia" w:hAnsiTheme="minorEastAsia" w:eastAsiaTheme="minorEastAsia"/>
          <w:b/>
          <w:kern w:val="0"/>
          <w:sz w:val="24"/>
          <w:szCs w:val="24"/>
        </w:rPr>
        <w:t>开展期货套期保值业务的背景</w:t>
      </w:r>
    </w:p>
    <w:p w14:paraId="6BE20671">
      <w:pPr>
        <w:widowControl/>
        <w:spacing w:line="360" w:lineRule="auto"/>
        <w:ind w:firstLine="480" w:firstLineChars="200"/>
        <w:rPr>
          <w:rFonts w:ascii="宋体" w:hAnsi="宋体" w:cs="宋体"/>
          <w:sz w:val="24"/>
          <w:szCs w:val="24"/>
        </w:rPr>
      </w:pPr>
      <w:r>
        <w:rPr>
          <w:rFonts w:hint="eastAsia" w:asciiTheme="minorEastAsia" w:hAnsiTheme="minorEastAsia" w:eastAsiaTheme="minorEastAsia"/>
          <w:kern w:val="0"/>
          <w:sz w:val="24"/>
          <w:szCs w:val="24"/>
        </w:rPr>
        <w:t>华孚时尚股份有限公司（以下简称“公司”</w:t>
      </w:r>
      <w:r>
        <w:rPr>
          <w:rFonts w:ascii="宋体" w:hAnsi="宋体" w:cs="宋体"/>
          <w:sz w:val="24"/>
          <w:szCs w:val="24"/>
        </w:rPr>
        <w:t>）生产经营需原材料</w:t>
      </w:r>
      <w:r>
        <w:rPr>
          <w:rFonts w:hint="eastAsia" w:ascii="宋体" w:hAnsi="宋体" w:cs="宋体"/>
          <w:sz w:val="24"/>
          <w:szCs w:val="24"/>
        </w:rPr>
        <w:t>棉花、棉纱</w:t>
      </w:r>
      <w:r>
        <w:rPr>
          <w:rFonts w:ascii="宋体" w:hAnsi="宋体" w:cs="宋体"/>
          <w:sz w:val="24"/>
          <w:szCs w:val="24"/>
        </w:rPr>
        <w:t>。鉴于</w:t>
      </w:r>
      <w:r>
        <w:rPr>
          <w:rFonts w:hint="eastAsia" w:ascii="宋体" w:hAnsi="宋体" w:cs="宋体"/>
          <w:sz w:val="24"/>
          <w:szCs w:val="24"/>
        </w:rPr>
        <w:t>原材料价格波动</w:t>
      </w:r>
      <w:r>
        <w:rPr>
          <w:rFonts w:ascii="宋体" w:hAnsi="宋体" w:cs="宋体"/>
          <w:sz w:val="24"/>
          <w:szCs w:val="24"/>
        </w:rPr>
        <w:t>，可能对公司生产经营产生不利影响，为充分利用期货市场的套期保值功能，有效规避原材料价格波动风险，保障公司健康、持续运营，公司决定开展期货套期保值业务。</w:t>
      </w:r>
    </w:p>
    <w:p w14:paraId="02ECAC1B">
      <w:pPr>
        <w:pStyle w:val="7"/>
        <w:widowControl/>
        <w:spacing w:line="360" w:lineRule="auto"/>
        <w:ind w:firstLine="482"/>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二</w:t>
      </w:r>
      <w:r>
        <w:rPr>
          <w:rFonts w:asciiTheme="minorEastAsia" w:hAnsiTheme="minorEastAsia" w:eastAsiaTheme="minorEastAsia"/>
          <w:b/>
          <w:kern w:val="0"/>
          <w:sz w:val="24"/>
          <w:szCs w:val="24"/>
        </w:rPr>
        <w:t>、</w:t>
      </w:r>
      <w:r>
        <w:rPr>
          <w:rFonts w:hint="eastAsia" w:asciiTheme="minorEastAsia" w:hAnsiTheme="minorEastAsia" w:eastAsiaTheme="minorEastAsia"/>
          <w:b/>
          <w:kern w:val="0"/>
          <w:sz w:val="24"/>
          <w:szCs w:val="24"/>
        </w:rPr>
        <w:t>开展期货套期保值业务的基本情况</w:t>
      </w:r>
    </w:p>
    <w:p w14:paraId="485E644A">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套保期货品种：</w:t>
      </w:r>
      <w:r>
        <w:rPr>
          <w:rFonts w:hint="eastAsia" w:ascii="宋体" w:hAnsi="宋体"/>
          <w:sz w:val="24"/>
          <w:highlight w:val="none"/>
          <w:lang w:val="en-US" w:eastAsia="zh-CN"/>
        </w:rPr>
        <w:t>郑州商品</w:t>
      </w:r>
      <w:r>
        <w:rPr>
          <w:rFonts w:ascii="宋体" w:hAnsi="宋体"/>
          <w:sz w:val="24"/>
          <w:highlight w:val="none"/>
        </w:rPr>
        <w:t>期货交易所</w:t>
      </w:r>
      <w:r>
        <w:rPr>
          <w:rFonts w:hint="eastAsia" w:ascii="宋体" w:hAnsi="宋体"/>
          <w:sz w:val="24"/>
          <w:highlight w:val="none"/>
          <w:lang w:val="en-US" w:eastAsia="zh-CN"/>
        </w:rPr>
        <w:t>交易的</w:t>
      </w:r>
      <w:r>
        <w:rPr>
          <w:rFonts w:ascii="宋体" w:hAnsi="宋体"/>
          <w:sz w:val="24"/>
          <w:highlight w:val="none"/>
        </w:rPr>
        <w:t>棉花合约、</w:t>
      </w:r>
      <w:r>
        <w:rPr>
          <w:rFonts w:hint="eastAsia" w:ascii="宋体" w:hAnsi="宋体"/>
          <w:sz w:val="24"/>
          <w:highlight w:val="none"/>
          <w:lang w:val="en-US" w:eastAsia="zh-CN"/>
        </w:rPr>
        <w:t>棉纱合约及场外衍生品等与</w:t>
      </w:r>
      <w:r>
        <w:rPr>
          <w:rFonts w:hint="eastAsia" w:ascii="宋体" w:hAnsi="宋体"/>
          <w:sz w:val="24"/>
          <w:highlight w:val="none"/>
        </w:rPr>
        <w:t>公司生产经营有关的合约</w:t>
      </w:r>
      <w:r>
        <w:rPr>
          <w:rFonts w:ascii="宋体" w:hAnsi="宋体"/>
          <w:sz w:val="24"/>
          <w:highlight w:val="none"/>
        </w:rPr>
        <w:t>。</w:t>
      </w:r>
    </w:p>
    <w:p w14:paraId="682E3811">
      <w:pPr>
        <w:widowControl/>
        <w:spacing w:line="360" w:lineRule="auto"/>
        <w:ind w:firstLine="480" w:firstLineChars="200"/>
        <w:rPr>
          <w:rFonts w:ascii="宋体" w:hAnsi="宋体" w:cs="宋体"/>
          <w:sz w:val="24"/>
          <w:szCs w:val="24"/>
        </w:rPr>
      </w:pPr>
      <w:r>
        <w:rPr>
          <w:rFonts w:asciiTheme="minorEastAsia" w:hAnsiTheme="minorEastAsia" w:eastAsiaTheme="minorEastAsia"/>
          <w:kern w:val="0"/>
          <w:sz w:val="24"/>
          <w:szCs w:val="24"/>
        </w:rPr>
        <w:t>根据市场和公司经营情况，预计公司</w:t>
      </w:r>
      <w:r>
        <w:rPr>
          <w:rFonts w:hint="eastAsia" w:asciiTheme="minorEastAsia" w:hAnsiTheme="minorEastAsia" w:eastAsiaTheme="minorEastAsia"/>
          <w:kern w:val="0"/>
          <w:sz w:val="24"/>
          <w:szCs w:val="24"/>
          <w:lang w:val="en-US" w:eastAsia="zh-CN"/>
        </w:rPr>
        <w:t>2026</w:t>
      </w:r>
      <w:r>
        <w:rPr>
          <w:rFonts w:hint="eastAsia" w:asciiTheme="minorEastAsia" w:hAnsiTheme="minorEastAsia" w:eastAsiaTheme="minorEastAsia"/>
          <w:kern w:val="0"/>
          <w:sz w:val="24"/>
          <w:szCs w:val="24"/>
        </w:rPr>
        <w:t>年</w:t>
      </w:r>
      <w:r>
        <w:rPr>
          <w:rFonts w:asciiTheme="minorEastAsia" w:hAnsiTheme="minorEastAsia" w:eastAsiaTheme="minorEastAsia"/>
          <w:kern w:val="0"/>
          <w:sz w:val="24"/>
          <w:szCs w:val="24"/>
        </w:rPr>
        <w:t>度开展期货套保交易的保证金最高额度不超过人民币</w:t>
      </w:r>
      <w:r>
        <w:rPr>
          <w:rFonts w:hint="eastAsia" w:asciiTheme="minorEastAsia" w:hAnsiTheme="minorEastAsia" w:eastAsiaTheme="minorEastAsia"/>
          <w:kern w:val="0"/>
          <w:sz w:val="24"/>
          <w:szCs w:val="24"/>
        </w:rPr>
        <w:t>15亿</w:t>
      </w:r>
      <w:r>
        <w:rPr>
          <w:rFonts w:asciiTheme="minorEastAsia" w:hAnsiTheme="minorEastAsia" w:eastAsiaTheme="minorEastAsia"/>
          <w:kern w:val="0"/>
          <w:sz w:val="24"/>
          <w:szCs w:val="24"/>
        </w:rPr>
        <w:t>元。在该额度范围内资金可滚动使用。</w:t>
      </w:r>
      <w:r>
        <w:rPr>
          <w:rFonts w:hint="eastAsia" w:asciiTheme="minorEastAsia" w:hAnsiTheme="minorEastAsia" w:eastAsiaTheme="minorEastAsia"/>
          <w:kern w:val="0"/>
          <w:sz w:val="24"/>
          <w:szCs w:val="24"/>
        </w:rPr>
        <w:t>有效期为公司股东会审议通过该事项之日起12个月。</w:t>
      </w:r>
    </w:p>
    <w:p w14:paraId="042AA9CA">
      <w:pPr>
        <w:pStyle w:val="7"/>
        <w:widowControl/>
        <w:spacing w:line="360" w:lineRule="auto"/>
        <w:ind w:firstLine="482"/>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三</w:t>
      </w:r>
      <w:r>
        <w:rPr>
          <w:rFonts w:asciiTheme="minorEastAsia" w:hAnsiTheme="minorEastAsia" w:eastAsiaTheme="minorEastAsia"/>
          <w:b/>
          <w:kern w:val="0"/>
          <w:sz w:val="24"/>
          <w:szCs w:val="24"/>
        </w:rPr>
        <w:t>、公司参与期货套保交易的必要性</w:t>
      </w:r>
      <w:r>
        <w:rPr>
          <w:rFonts w:hint="eastAsia" w:asciiTheme="minorEastAsia" w:hAnsiTheme="minorEastAsia" w:eastAsiaTheme="minorEastAsia"/>
          <w:b/>
          <w:kern w:val="0"/>
          <w:sz w:val="24"/>
          <w:szCs w:val="24"/>
        </w:rPr>
        <w:t>及可行性</w:t>
      </w:r>
    </w:p>
    <w:p w14:paraId="6B5F1544">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kern w:val="0"/>
          <w:sz w:val="24"/>
          <w:szCs w:val="24"/>
        </w:rPr>
        <w:t>公司拟参与期货</w:t>
      </w:r>
      <w:r>
        <w:rPr>
          <w:rFonts w:hint="eastAsia" w:asciiTheme="minorEastAsia" w:hAnsiTheme="minorEastAsia" w:eastAsiaTheme="minorEastAsia"/>
          <w:kern w:val="0"/>
          <w:sz w:val="24"/>
          <w:szCs w:val="24"/>
        </w:rPr>
        <w:t>套期保值</w:t>
      </w:r>
      <w:r>
        <w:rPr>
          <w:rFonts w:asciiTheme="minorEastAsia" w:hAnsiTheme="minorEastAsia" w:eastAsiaTheme="minorEastAsia"/>
          <w:kern w:val="0"/>
          <w:sz w:val="24"/>
          <w:szCs w:val="24"/>
        </w:rPr>
        <w:t>交易的品种为公司生产经营中主要使用的</w:t>
      </w:r>
      <w:r>
        <w:rPr>
          <w:rFonts w:hint="eastAsia" w:asciiTheme="minorEastAsia" w:hAnsiTheme="minorEastAsia" w:eastAsiaTheme="minorEastAsia"/>
          <w:kern w:val="0"/>
          <w:sz w:val="24"/>
          <w:szCs w:val="24"/>
        </w:rPr>
        <w:t>棉花</w:t>
      </w:r>
      <w:r>
        <w:rPr>
          <w:rFonts w:asciiTheme="minorEastAsia" w:hAnsiTheme="minorEastAsia" w:eastAsiaTheme="minorEastAsia"/>
          <w:kern w:val="0"/>
          <w:sz w:val="24"/>
          <w:szCs w:val="24"/>
        </w:rPr>
        <w:t>原材料</w:t>
      </w:r>
      <w:r>
        <w:rPr>
          <w:rFonts w:hint="eastAsia" w:asciiTheme="minorEastAsia" w:hAnsiTheme="minorEastAsia" w:eastAsiaTheme="minorEastAsia"/>
          <w:kern w:val="0"/>
          <w:sz w:val="24"/>
          <w:szCs w:val="24"/>
        </w:rPr>
        <w:t>和棉纱</w:t>
      </w:r>
      <w:r>
        <w:rPr>
          <w:rFonts w:asciiTheme="minorEastAsia" w:hAnsiTheme="minorEastAsia" w:eastAsiaTheme="minorEastAsia"/>
          <w:kern w:val="0"/>
          <w:sz w:val="24"/>
          <w:szCs w:val="24"/>
        </w:rPr>
        <w:t>，参与上述品种的期货套保交易是</w:t>
      </w:r>
      <w:r>
        <w:rPr>
          <w:rFonts w:hint="eastAsia" w:asciiTheme="minorEastAsia" w:hAnsiTheme="minorEastAsia" w:eastAsiaTheme="minorEastAsia"/>
          <w:kern w:val="0"/>
          <w:sz w:val="24"/>
          <w:szCs w:val="24"/>
        </w:rPr>
        <w:t>以</w:t>
      </w:r>
      <w:r>
        <w:rPr>
          <w:rFonts w:asciiTheme="minorEastAsia" w:hAnsiTheme="minorEastAsia" w:eastAsiaTheme="minorEastAsia"/>
          <w:sz w:val="24"/>
          <w:szCs w:val="24"/>
        </w:rPr>
        <w:t>规避生产经营中原材料价格波动所带来的风险为目的，不进行投机和套利交易</w:t>
      </w:r>
      <w:r>
        <w:rPr>
          <w:rFonts w:asciiTheme="minorEastAsia" w:hAnsiTheme="minorEastAsia" w:eastAsiaTheme="minorEastAsia"/>
          <w:kern w:val="0"/>
          <w:sz w:val="24"/>
          <w:szCs w:val="24"/>
        </w:rPr>
        <w:t>。公司参与期货市场交易，与现货市场交易相结合，将有效拓宽采购渠道，</w:t>
      </w:r>
      <w:r>
        <w:rPr>
          <w:rFonts w:asciiTheme="minorEastAsia" w:hAnsiTheme="minorEastAsia" w:eastAsiaTheme="minorEastAsia"/>
          <w:sz w:val="24"/>
          <w:szCs w:val="24"/>
        </w:rPr>
        <w:t>锁定原材料成本</w:t>
      </w:r>
      <w:r>
        <w:rPr>
          <w:rFonts w:hint="eastAsia" w:asciiTheme="minorEastAsia" w:hAnsiTheme="minorEastAsia" w:eastAsiaTheme="minorEastAsia"/>
          <w:sz w:val="24"/>
          <w:szCs w:val="24"/>
        </w:rPr>
        <w:t>,</w:t>
      </w:r>
      <w:r>
        <w:rPr>
          <w:rFonts w:asciiTheme="minorEastAsia" w:hAnsiTheme="minorEastAsia" w:eastAsiaTheme="minorEastAsia"/>
          <w:kern w:val="0"/>
          <w:sz w:val="24"/>
          <w:szCs w:val="24"/>
        </w:rPr>
        <w:t>有利于公司规避棉花价格波动的风险，保持</w:t>
      </w:r>
      <w:r>
        <w:rPr>
          <w:rFonts w:asciiTheme="minorEastAsia" w:hAnsiTheme="minorEastAsia" w:eastAsiaTheme="minorEastAsia"/>
          <w:sz w:val="24"/>
          <w:szCs w:val="24"/>
        </w:rPr>
        <w:t>公司经营业绩的稳定性和可持续性。公司将严格按照</w:t>
      </w:r>
      <w:r>
        <w:rPr>
          <w:rFonts w:hint="eastAsia" w:asciiTheme="minorEastAsia" w:hAnsiTheme="minorEastAsia" w:eastAsiaTheme="minorEastAsia"/>
          <w:kern w:val="0"/>
          <w:sz w:val="24"/>
          <w:szCs w:val="24"/>
        </w:rPr>
        <w:t>《深圳证券交易所上市公司自律监管指引第7号——交易与关联交易》</w:t>
      </w:r>
      <w:r>
        <w:rPr>
          <w:rFonts w:asciiTheme="minorEastAsia" w:hAnsiTheme="minorEastAsia" w:eastAsiaTheme="minorEastAsia"/>
          <w:sz w:val="24"/>
          <w:szCs w:val="24"/>
        </w:rPr>
        <w:t>和公司</w:t>
      </w:r>
      <w:r>
        <w:rPr>
          <w:rFonts w:hint="eastAsia" w:asciiTheme="minorEastAsia" w:hAnsiTheme="minorEastAsia" w:eastAsiaTheme="minorEastAsia"/>
          <w:sz w:val="24"/>
          <w:szCs w:val="24"/>
        </w:rPr>
        <w:t>《对外投资管理制度》</w:t>
      </w:r>
      <w:r>
        <w:rPr>
          <w:rFonts w:asciiTheme="minorEastAsia" w:hAnsiTheme="minorEastAsia" w:eastAsiaTheme="minorEastAsia"/>
          <w:sz w:val="24"/>
          <w:szCs w:val="24"/>
        </w:rPr>
        <w:t>的要求，落实风险防范措施，审慎操作。</w:t>
      </w:r>
    </w:p>
    <w:p w14:paraId="5099EEF1">
      <w:pPr>
        <w:widowControl/>
        <w:spacing w:line="360" w:lineRule="auto"/>
        <w:ind w:firstLine="482" w:firstLineChars="200"/>
        <w:jc w:val="left"/>
        <w:rPr>
          <w:rFonts w:asciiTheme="minorEastAsia" w:hAnsiTheme="minorEastAsia" w:eastAsiaTheme="minorEastAsia"/>
          <w:b/>
          <w:kern w:val="0"/>
          <w:sz w:val="24"/>
          <w:szCs w:val="24"/>
        </w:rPr>
      </w:pPr>
      <w:r>
        <w:rPr>
          <w:rFonts w:asciiTheme="minorEastAsia" w:hAnsiTheme="minorEastAsia" w:eastAsiaTheme="minorEastAsia"/>
          <w:b/>
          <w:kern w:val="0"/>
          <w:sz w:val="24"/>
          <w:szCs w:val="24"/>
        </w:rPr>
        <w:t>四、期货套保交易的风险分析</w:t>
      </w:r>
    </w:p>
    <w:p w14:paraId="3A26512B">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法律风险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因相关法律制度发生重大变化可能造成合约无法正常执行而给公司带来损失。如果公司选择的期货公司在交易过程中存在违法违规经营行为，也可能给公司带来损失。 </w:t>
      </w:r>
    </w:p>
    <w:p w14:paraId="517CBA66">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市场风险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由于保证金交易具有杠杆性，当出现不利行情时，价格微小的变动就可能会使公司权益遭受损失。 </w:t>
      </w:r>
    </w:p>
    <w:p w14:paraId="7637C416">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w:t>
      </w:r>
      <w:r>
        <w:rPr>
          <w:rFonts w:asciiTheme="minorEastAsia" w:hAnsiTheme="minorEastAsia" w:eastAsiaTheme="minorEastAsia"/>
          <w:kern w:val="0"/>
          <w:sz w:val="24"/>
          <w:szCs w:val="24"/>
        </w:rPr>
        <w:t>操作风险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行情系统、下单系统等可能出现技术故障，导致无法获得行情或无法下单</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或者由于操作人员出现操作失误，都可能会造成损失。 </w:t>
      </w:r>
    </w:p>
    <w:p w14:paraId="3F0C7776">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（四）</w:t>
      </w:r>
      <w:r>
        <w:rPr>
          <w:rFonts w:asciiTheme="minorEastAsia" w:hAnsiTheme="minorEastAsia" w:eastAsiaTheme="minorEastAsia"/>
          <w:kern w:val="0"/>
          <w:sz w:val="24"/>
          <w:szCs w:val="24"/>
        </w:rPr>
        <w:t>流动性风险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当公司无法及时补足保证金时，可能会被强制平仓而遭受损失。 </w:t>
      </w:r>
    </w:p>
    <w:p w14:paraId="4FD95C81">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（五）</w:t>
      </w:r>
      <w:r>
        <w:rPr>
          <w:rFonts w:asciiTheme="minorEastAsia" w:hAnsiTheme="minorEastAsia" w:eastAsiaTheme="minorEastAsia"/>
          <w:kern w:val="0"/>
          <w:sz w:val="24"/>
          <w:szCs w:val="24"/>
        </w:rPr>
        <w:t>信用风险</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 xml:space="preserve">交易价格出现对交易对方不利的大幅度波动时，交易对方可能违反合同的相关规定，取消合同，造成公司损失。 </w:t>
      </w:r>
    </w:p>
    <w:p w14:paraId="11459CF2">
      <w:pPr>
        <w:widowControl/>
        <w:spacing w:line="360" w:lineRule="auto"/>
        <w:ind w:firstLine="482" w:firstLineChars="200"/>
        <w:jc w:val="left"/>
        <w:rPr>
          <w:rFonts w:ascii="宋体" w:hAnsi="宋体" w:cs="宋体"/>
          <w:sz w:val="24"/>
          <w:szCs w:val="24"/>
        </w:rPr>
      </w:pPr>
      <w:r>
        <w:rPr>
          <w:rFonts w:asciiTheme="minorEastAsia" w:hAnsiTheme="minorEastAsia" w:eastAsiaTheme="minorEastAsia"/>
          <w:b/>
          <w:kern w:val="0"/>
          <w:sz w:val="24"/>
          <w:szCs w:val="24"/>
        </w:rPr>
        <w:t>五、开展期货套期保值业务的风险控制措施</w:t>
      </w:r>
      <w:r>
        <w:rPr>
          <w:rFonts w:ascii="宋体" w:hAnsi="宋体" w:cs="宋体"/>
          <w:sz w:val="24"/>
          <w:szCs w:val="24"/>
        </w:rPr>
        <w:t xml:space="preserve"> </w:t>
      </w:r>
    </w:p>
    <w:p w14:paraId="5C165697">
      <w:pPr>
        <w:widowControl/>
        <w:spacing w:line="360" w:lineRule="auto"/>
        <w:ind w:firstLine="480" w:firstLineChars="200"/>
        <w:jc w:val="left"/>
        <w:rPr>
          <w:rFonts w:ascii="宋体" w:hAnsi="宋体" w:cs="宋体"/>
          <w:sz w:val="24"/>
          <w:szCs w:val="24"/>
        </w:rPr>
      </w:pPr>
      <w:r>
        <w:rPr>
          <w:rFonts w:ascii="宋体" w:hAnsi="宋体" w:cs="宋体"/>
          <w:sz w:val="24"/>
          <w:szCs w:val="24"/>
        </w:rPr>
        <w:t>1、禁止投机交易：公司期货套期保值业务严禁以逐利为目的的投机交易。套期保值数量原则上不超过现货产品存量，持仓时间与现货保值所需的计价期相匹配；</w:t>
      </w:r>
    </w:p>
    <w:p w14:paraId="3CD72BCB">
      <w:pPr>
        <w:widowControl/>
        <w:spacing w:line="360" w:lineRule="auto"/>
        <w:ind w:firstLine="480" w:firstLineChars="200"/>
        <w:jc w:val="left"/>
        <w:rPr>
          <w:rFonts w:ascii="宋体" w:hAnsi="宋体" w:cs="宋体"/>
          <w:sz w:val="24"/>
          <w:szCs w:val="24"/>
        </w:rPr>
      </w:pPr>
      <w:r>
        <w:rPr>
          <w:rFonts w:ascii="宋体" w:hAnsi="宋体" w:cs="宋体"/>
          <w:sz w:val="24"/>
          <w:szCs w:val="24"/>
        </w:rPr>
        <w:t>2、严格控制资金规模：公司将严格控制套期保值的资金规模，合理规划和使用保证金，严格按照公司管理制度规定下达操作指令，并经审批后方可操作；</w:t>
      </w:r>
    </w:p>
    <w:p w14:paraId="322CB9F3">
      <w:pPr>
        <w:widowControl/>
        <w:spacing w:line="360" w:lineRule="auto"/>
        <w:ind w:firstLine="480" w:firstLineChars="200"/>
        <w:jc w:val="left"/>
        <w:rPr>
          <w:rFonts w:ascii="宋体" w:hAnsi="宋体" w:cs="宋体"/>
          <w:sz w:val="24"/>
          <w:szCs w:val="24"/>
        </w:rPr>
      </w:pPr>
      <w:r>
        <w:rPr>
          <w:rFonts w:ascii="宋体" w:hAnsi="宋体" w:cs="宋体"/>
          <w:sz w:val="24"/>
          <w:szCs w:val="24"/>
        </w:rPr>
        <w:t>3、完善制度与团队建设：公司已制定</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对外投资管理制度</w:t>
      </w:r>
      <w:r>
        <w:rPr>
          <w:rFonts w:asciiTheme="minorEastAsia" w:hAnsiTheme="minorEastAsia" w:eastAsiaTheme="minorEastAsia"/>
          <w:kern w:val="0"/>
          <w:sz w:val="24"/>
          <w:szCs w:val="24"/>
        </w:rPr>
        <w:t>》</w:t>
      </w:r>
      <w:r>
        <w:rPr>
          <w:rFonts w:ascii="宋体" w:hAnsi="宋体" w:cs="宋体"/>
          <w:sz w:val="24"/>
          <w:szCs w:val="24"/>
        </w:rPr>
        <w:t>，对套期保值业务作出明确规定。同时，设立专门的期货操作团队、风险控制人员和相应的业务流程，通过授权和岗位牵制、内部审计等措施进行控制；</w:t>
      </w:r>
    </w:p>
    <w:p w14:paraId="64361D1E">
      <w:pPr>
        <w:widowControl/>
        <w:spacing w:line="360" w:lineRule="auto"/>
        <w:ind w:firstLine="480" w:firstLineChars="200"/>
        <w:jc w:val="left"/>
        <w:rPr>
          <w:rFonts w:ascii="宋体" w:hAnsi="宋体" w:cs="宋体"/>
          <w:sz w:val="24"/>
          <w:szCs w:val="24"/>
        </w:rPr>
      </w:pPr>
      <w:r>
        <w:rPr>
          <w:rFonts w:ascii="宋体" w:hAnsi="宋体" w:cs="宋体"/>
          <w:sz w:val="24"/>
          <w:szCs w:val="24"/>
        </w:rPr>
        <w:t>4、加强人员培训与异常情况报告：公司将严格按照《</w:t>
      </w:r>
      <w:r>
        <w:rPr>
          <w:rFonts w:hint="eastAsia" w:asciiTheme="minorEastAsia" w:hAnsiTheme="minorEastAsia" w:eastAsiaTheme="minorEastAsia"/>
          <w:kern w:val="0"/>
          <w:sz w:val="24"/>
          <w:szCs w:val="24"/>
        </w:rPr>
        <w:t>对外投资管理制度</w:t>
      </w:r>
      <w:r>
        <w:rPr>
          <w:rFonts w:ascii="宋体" w:hAnsi="宋体" w:cs="宋体"/>
          <w:sz w:val="24"/>
          <w:szCs w:val="24"/>
        </w:rPr>
        <w:t>》等规定安排和使用专业人员，加强相关人员的职业道德教育和业务培训，提高综合素质。同时建立异常情况及时报告制度，形成高效的风险处理程序；</w:t>
      </w:r>
    </w:p>
    <w:p w14:paraId="110149D1">
      <w:pPr>
        <w:widowControl/>
        <w:spacing w:line="360" w:lineRule="auto"/>
        <w:ind w:firstLine="480" w:firstLineChars="200"/>
        <w:jc w:val="left"/>
        <w:rPr>
          <w:rFonts w:ascii="宋体" w:hAnsi="宋体" w:cs="宋体"/>
          <w:sz w:val="24"/>
          <w:szCs w:val="24"/>
        </w:rPr>
      </w:pPr>
      <w:r>
        <w:rPr>
          <w:rFonts w:ascii="宋体" w:hAnsi="宋体" w:cs="宋体"/>
          <w:sz w:val="24"/>
          <w:szCs w:val="24"/>
        </w:rPr>
        <w:t>5、确保系统稳定：公司已设立符合要求的计算机系统及相关设施，确保交易工作正常开展。发生故障时，及时采取相应处理措施以减少损失。</w:t>
      </w:r>
    </w:p>
    <w:p w14:paraId="60B1E54E">
      <w:pPr>
        <w:widowControl/>
        <w:spacing w:line="360" w:lineRule="auto"/>
        <w:ind w:firstLine="482" w:firstLineChars="200"/>
        <w:jc w:val="left"/>
        <w:rPr>
          <w:rFonts w:ascii="宋体" w:hAnsi="宋体" w:cs="宋体"/>
          <w:sz w:val="24"/>
          <w:szCs w:val="24"/>
        </w:rPr>
      </w:pPr>
      <w:r>
        <w:rPr>
          <w:rFonts w:asciiTheme="minorEastAsia" w:hAnsiTheme="minorEastAsia" w:eastAsiaTheme="minorEastAsia"/>
          <w:b/>
          <w:kern w:val="0"/>
          <w:sz w:val="24"/>
          <w:szCs w:val="24"/>
        </w:rPr>
        <w:t>六、开展期货套期保值业务可行性分析结论</w:t>
      </w:r>
      <w:r>
        <w:rPr>
          <w:rFonts w:ascii="宋体" w:hAnsi="宋体" w:cs="宋体"/>
          <w:sz w:val="24"/>
          <w:szCs w:val="24"/>
        </w:rPr>
        <w:t xml:space="preserve"> </w:t>
      </w:r>
    </w:p>
    <w:p w14:paraId="1070C259">
      <w:pPr>
        <w:widowControl/>
        <w:spacing w:line="360" w:lineRule="auto"/>
        <w:ind w:firstLine="480" w:firstLineChars="200"/>
        <w:jc w:val="left"/>
        <w:rPr>
          <w:rFonts w:ascii="宋体" w:hAnsi="宋体" w:cs="宋体"/>
          <w:sz w:val="24"/>
          <w:szCs w:val="24"/>
        </w:rPr>
      </w:pPr>
      <w:r>
        <w:rPr>
          <w:rFonts w:ascii="宋体" w:hAnsi="宋体" w:cs="宋体"/>
          <w:sz w:val="24"/>
          <w:szCs w:val="24"/>
        </w:rPr>
        <w:t>公司开展期货套期保值业务，能够有效减少生产经营中原材料价格波动带来的风险，不涉及投机和套利交易。相关业务审批流程、风险防控和管理措施到位，借助期货市场的价格发现、风险对冲功能，利用套期保值工具规避市场价格波动风险，降低价格波动对公司生产经营的影响，有利于公司生产经营的稳定性和可持续性。</w:t>
      </w:r>
    </w:p>
    <w:p w14:paraId="7D1E58F7">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综上所述，公司开展商品期货套期保值业务是切实可行的，对公司的生产经营是有利的</w:t>
      </w:r>
      <w:r>
        <w:rPr>
          <w:rFonts w:hint="eastAsia" w:asciiTheme="minorEastAsia" w:hAnsiTheme="minorEastAsia" w:eastAsiaTheme="minorEastAsia"/>
          <w:sz w:val="24"/>
          <w:szCs w:val="24"/>
        </w:rPr>
        <w:t>，不会损害公司及公司股东的利益。</w:t>
      </w:r>
    </w:p>
    <w:p w14:paraId="558DBD29">
      <w:pPr>
        <w:widowControl/>
        <w:spacing w:line="500" w:lineRule="exact"/>
        <w:ind w:firstLine="420"/>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华孚时尚股份有限公司董事会</w:t>
      </w:r>
    </w:p>
    <w:p w14:paraId="73FDFB40">
      <w:pPr>
        <w:widowControl/>
        <w:spacing w:line="500" w:lineRule="exact"/>
        <w:ind w:firstLine="420"/>
        <w:jc w:val="right"/>
        <w:rPr>
          <w:rFonts w:ascii="Times New Roman" w:hAnsi="Times New Roman"/>
          <w:sz w:val="24"/>
          <w:szCs w:val="24"/>
        </w:rPr>
      </w:pPr>
      <w:r>
        <w:rPr>
          <w:rFonts w:asciiTheme="minorEastAsia" w:hAnsiTheme="minorEastAsia" w:eastAsiaTheme="minorEastAsia"/>
          <w:kern w:val="0"/>
          <w:sz w:val="24"/>
          <w:szCs w:val="24"/>
        </w:rPr>
        <w:t>二</w:t>
      </w:r>
      <w:r>
        <w:rPr>
          <w:rFonts w:hint="eastAsia" w:asciiTheme="minorEastAsia" w:hAnsiTheme="minorEastAsia" w:eastAsiaTheme="minorEastAsia"/>
          <w:kern w:val="0"/>
          <w:sz w:val="24"/>
          <w:szCs w:val="24"/>
        </w:rPr>
        <w:t>〇二</w:t>
      </w:r>
      <w:r>
        <w:rPr>
          <w:rFonts w:hint="eastAsia" w:asciiTheme="minorEastAsia" w:hAnsiTheme="minorEastAsia" w:eastAsiaTheme="minorEastAsia"/>
          <w:kern w:val="0"/>
          <w:sz w:val="24"/>
          <w:szCs w:val="24"/>
          <w:lang w:val="en-US" w:eastAsia="zh-CN"/>
        </w:rPr>
        <w:t>六</w:t>
      </w:r>
      <w:r>
        <w:rPr>
          <w:rFonts w:hint="eastAsia" w:asciiTheme="minorEastAsia" w:hAnsiTheme="minorEastAsia" w:eastAsiaTheme="minorEastAsia"/>
          <w:kern w:val="0"/>
          <w:sz w:val="24"/>
          <w:szCs w:val="24"/>
        </w:rPr>
        <w:t>年四月二十</w:t>
      </w:r>
      <w:r>
        <w:rPr>
          <w:rFonts w:hint="eastAsia" w:asciiTheme="minorEastAsia" w:hAnsiTheme="minorEastAsia" w:eastAsiaTheme="minorEastAsia"/>
          <w:kern w:val="0"/>
          <w:sz w:val="24"/>
          <w:szCs w:val="24"/>
          <w:lang w:val="en-US" w:eastAsia="zh-CN"/>
        </w:rPr>
        <w:t>九</w:t>
      </w:r>
      <w:bookmarkStart w:id="0" w:name="_GoBack"/>
      <w:bookmarkEnd w:id="0"/>
      <w:r>
        <w:rPr>
          <w:rFonts w:asciiTheme="minorEastAsia" w:hAnsiTheme="minorEastAsia" w:eastAsiaTheme="minorEastAsia"/>
          <w:kern w:val="0"/>
          <w:sz w:val="24"/>
          <w:szCs w:val="24"/>
        </w:rPr>
        <w:t>日</w:t>
      </w:r>
    </w:p>
    <w:p w14:paraId="36799D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F90336"/>
    <w:rsid w:val="00076E65"/>
    <w:rsid w:val="000A2BEB"/>
    <w:rsid w:val="000B2814"/>
    <w:rsid w:val="000C2265"/>
    <w:rsid w:val="00110CA2"/>
    <w:rsid w:val="00144A90"/>
    <w:rsid w:val="00160828"/>
    <w:rsid w:val="00171561"/>
    <w:rsid w:val="001834CB"/>
    <w:rsid w:val="001C67FE"/>
    <w:rsid w:val="001E1A44"/>
    <w:rsid w:val="00213704"/>
    <w:rsid w:val="00255589"/>
    <w:rsid w:val="00273EBD"/>
    <w:rsid w:val="00287897"/>
    <w:rsid w:val="00287EF9"/>
    <w:rsid w:val="002960B6"/>
    <w:rsid w:val="002B6162"/>
    <w:rsid w:val="003102B9"/>
    <w:rsid w:val="00316206"/>
    <w:rsid w:val="003465F0"/>
    <w:rsid w:val="00346800"/>
    <w:rsid w:val="00382B6E"/>
    <w:rsid w:val="003D0D93"/>
    <w:rsid w:val="003D10CF"/>
    <w:rsid w:val="003D1941"/>
    <w:rsid w:val="003E3AAF"/>
    <w:rsid w:val="00402F5F"/>
    <w:rsid w:val="004032CB"/>
    <w:rsid w:val="00421C29"/>
    <w:rsid w:val="00431129"/>
    <w:rsid w:val="004311AF"/>
    <w:rsid w:val="004733ED"/>
    <w:rsid w:val="004974F6"/>
    <w:rsid w:val="004E7761"/>
    <w:rsid w:val="004F21C9"/>
    <w:rsid w:val="005370BF"/>
    <w:rsid w:val="00565C59"/>
    <w:rsid w:val="00583371"/>
    <w:rsid w:val="005A6AAE"/>
    <w:rsid w:val="005A6FFC"/>
    <w:rsid w:val="005A75C3"/>
    <w:rsid w:val="005B0A2A"/>
    <w:rsid w:val="005C6441"/>
    <w:rsid w:val="0060371E"/>
    <w:rsid w:val="00630782"/>
    <w:rsid w:val="00630EA9"/>
    <w:rsid w:val="00666BB4"/>
    <w:rsid w:val="00677B15"/>
    <w:rsid w:val="006822AB"/>
    <w:rsid w:val="00690F14"/>
    <w:rsid w:val="006A1254"/>
    <w:rsid w:val="006D64E6"/>
    <w:rsid w:val="00707FA7"/>
    <w:rsid w:val="00721AE5"/>
    <w:rsid w:val="00731BD0"/>
    <w:rsid w:val="00790C5F"/>
    <w:rsid w:val="00812AB7"/>
    <w:rsid w:val="00832685"/>
    <w:rsid w:val="00841BE8"/>
    <w:rsid w:val="00842F4D"/>
    <w:rsid w:val="00862A46"/>
    <w:rsid w:val="008C75BA"/>
    <w:rsid w:val="008E5C34"/>
    <w:rsid w:val="00931BDD"/>
    <w:rsid w:val="00961A85"/>
    <w:rsid w:val="009D0419"/>
    <w:rsid w:val="009E4829"/>
    <w:rsid w:val="009E7845"/>
    <w:rsid w:val="00A009F8"/>
    <w:rsid w:val="00A22881"/>
    <w:rsid w:val="00A23BEE"/>
    <w:rsid w:val="00A72AB7"/>
    <w:rsid w:val="00A8683C"/>
    <w:rsid w:val="00A8702E"/>
    <w:rsid w:val="00A90117"/>
    <w:rsid w:val="00A93B47"/>
    <w:rsid w:val="00AC591E"/>
    <w:rsid w:val="00AF3DA3"/>
    <w:rsid w:val="00B363DF"/>
    <w:rsid w:val="00B460EF"/>
    <w:rsid w:val="00B73A9F"/>
    <w:rsid w:val="00BC0C3E"/>
    <w:rsid w:val="00BC14C4"/>
    <w:rsid w:val="00BC31F5"/>
    <w:rsid w:val="00BE3696"/>
    <w:rsid w:val="00BE4724"/>
    <w:rsid w:val="00BF13AE"/>
    <w:rsid w:val="00C57071"/>
    <w:rsid w:val="00CE4076"/>
    <w:rsid w:val="00CF0030"/>
    <w:rsid w:val="00D01275"/>
    <w:rsid w:val="00D648AB"/>
    <w:rsid w:val="00D67325"/>
    <w:rsid w:val="00D851B2"/>
    <w:rsid w:val="00DA360D"/>
    <w:rsid w:val="00DD71CB"/>
    <w:rsid w:val="00E25800"/>
    <w:rsid w:val="00E6635B"/>
    <w:rsid w:val="00EA0E54"/>
    <w:rsid w:val="00F01039"/>
    <w:rsid w:val="00F21A0D"/>
    <w:rsid w:val="00F3503E"/>
    <w:rsid w:val="00F440D3"/>
    <w:rsid w:val="00F472B6"/>
    <w:rsid w:val="00F474E5"/>
    <w:rsid w:val="00F54AEF"/>
    <w:rsid w:val="00F758CC"/>
    <w:rsid w:val="00F90336"/>
    <w:rsid w:val="00FA217B"/>
    <w:rsid w:val="00FE308B"/>
    <w:rsid w:val="00FF1548"/>
    <w:rsid w:val="0167398B"/>
    <w:rsid w:val="10D80401"/>
    <w:rsid w:val="17FA0B25"/>
    <w:rsid w:val="1B7C01EB"/>
    <w:rsid w:val="1E1E786F"/>
    <w:rsid w:val="29E452C9"/>
    <w:rsid w:val="2D142369"/>
    <w:rsid w:val="2D68562A"/>
    <w:rsid w:val="329216B8"/>
    <w:rsid w:val="379A790F"/>
    <w:rsid w:val="4114428E"/>
    <w:rsid w:val="4A5D4EF8"/>
    <w:rsid w:val="551B711D"/>
    <w:rsid w:val="56B13718"/>
    <w:rsid w:val="57701871"/>
    <w:rsid w:val="59A23065"/>
    <w:rsid w:val="612400C6"/>
    <w:rsid w:val="73B705B2"/>
    <w:rsid w:val="75120169"/>
    <w:rsid w:val="7620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qFormat/>
    <w:uiPriority w:val="99"/>
    <w:rPr>
      <w:rFonts w:ascii="Calibri" w:hAnsi="Calibri" w:eastAsia="宋体" w:cs="Times New Roman"/>
      <w:sz w:val="18"/>
      <w:szCs w:val="18"/>
    </w:rPr>
  </w:style>
  <w:style w:type="character" w:customStyle="1" w:styleId="9">
    <w:name w:val="页脚 Char"/>
    <w:basedOn w:val="6"/>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1571</Words>
  <Characters>1576</Characters>
  <Lines>11</Lines>
  <Paragraphs>3</Paragraphs>
  <TotalTime>0</TotalTime>
  <ScaleCrop>false</ScaleCrop>
  <LinksUpToDate>false</LinksUpToDate>
  <CharactersWithSpaces>1583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2025-04-25T11:47:00Z</dcterms:created>
  <dc:creator>孙献</dc:creator>
  <cp:lastModifiedBy>WSY</cp:lastModifiedBy>
  <dcterms:modified xsi:type="dcterms:W3CDTF">2026-04-23T01:18:08Z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0A992ACCC8C34116BDF64C869E72CA79_12</vt:lpwstr>
  </property>
  <property fmtid="{D5CDD505-2E9C-101B-9397-08002B2CF9AE}" pid="4" name="KSOTemplateDocerSaveRecord">
    <vt:lpwstr>eyJoZGlkIjoiMGYyMzhhMzNmNzJhMTU4YjMxZTc1YjkyNzFjZGE5ZTciLCJ1c2VySWQiOiIyNjU0NTI1NDMifQ==</vt:lpwstr>
  </property>
</Properties>
</file>